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4BD30" w14:textId="77777777" w:rsidR="00DF7CFF" w:rsidRPr="00A15F4C" w:rsidRDefault="00966F39" w:rsidP="00417659">
      <w:pPr>
        <w:pStyle w:val="Body"/>
        <w:spacing w:before="240"/>
        <w:jc w:val="center"/>
        <w:rPr>
          <w:rFonts w:asciiTheme="minorHAnsi" w:hAnsiTheme="minorHAnsi" w:cstheme="majorHAnsi"/>
          <w:b/>
          <w:bCs/>
          <w:color w:val="002060"/>
          <w:sz w:val="32"/>
          <w:szCs w:val="32"/>
          <w:lang w:val="en-GB"/>
        </w:rPr>
      </w:pPr>
      <w:r w:rsidRPr="00A15F4C">
        <w:rPr>
          <w:rFonts w:asciiTheme="minorHAnsi" w:hAnsiTheme="minorHAnsi" w:cstheme="majorHAnsi"/>
          <w:b/>
          <w:bCs/>
          <w:color w:val="002060"/>
          <w:sz w:val="32"/>
          <w:szCs w:val="32"/>
          <w:lang w:val="en-GB"/>
        </w:rPr>
        <w:t>DATA PROTECTION POLICY</w:t>
      </w:r>
    </w:p>
    <w:p w14:paraId="31DAC270" w14:textId="77777777" w:rsidR="00A6372A" w:rsidRPr="00A15F4C" w:rsidRDefault="00A6372A" w:rsidP="00966F39">
      <w:pPr>
        <w:pStyle w:val="Body"/>
        <w:rPr>
          <w:rFonts w:asciiTheme="minorHAnsi" w:hAnsiTheme="minorHAnsi" w:cstheme="majorHAnsi"/>
          <w:b/>
          <w:bCs/>
          <w:u w:color="70AD47"/>
          <w:lang w:val="en-GB"/>
        </w:rPr>
      </w:pPr>
    </w:p>
    <w:p w14:paraId="30622106"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Introduction</w:t>
      </w:r>
    </w:p>
    <w:p w14:paraId="3F99B0F5" w14:textId="1F755DBC" w:rsidR="00966F39" w:rsidRPr="00A15F4C" w:rsidRDefault="00966F39" w:rsidP="00966F39">
      <w:pPr>
        <w:pStyle w:val="Body"/>
        <w:rPr>
          <w:rFonts w:asciiTheme="minorHAnsi" w:eastAsia="Arial" w:hAnsiTheme="minorHAnsi" w:cstheme="majorHAnsi"/>
          <w:b/>
          <w:bCs/>
          <w:u w:color="70AD47"/>
          <w:lang w:val="en-GB"/>
        </w:rPr>
      </w:pPr>
    </w:p>
    <w:p w14:paraId="06266F50" w14:textId="04B2956B" w:rsidR="00966F39" w:rsidRPr="00A15F4C" w:rsidRDefault="00417659" w:rsidP="00966F39">
      <w:pPr>
        <w:pStyle w:val="Body"/>
        <w:rPr>
          <w:rFonts w:asciiTheme="minorHAnsi" w:eastAsia="Arial" w:hAnsiTheme="minorHAnsi" w:cstheme="majorHAnsi"/>
          <w:lang w:val="en-GB"/>
        </w:rPr>
      </w:pPr>
      <w:r w:rsidRPr="00A15F4C">
        <w:rPr>
          <w:rFonts w:asciiTheme="minorHAnsi" w:hAnsiTheme="minorHAnsi" w:cstheme="majorHAnsi"/>
          <w:lang w:val="en-GB"/>
        </w:rPr>
        <w:t>Fourteen</w:t>
      </w:r>
      <w:r w:rsidR="004A319D" w:rsidRPr="00A15F4C">
        <w:rPr>
          <w:rFonts w:asciiTheme="minorHAnsi" w:hAnsiTheme="minorHAnsi" w:cstheme="majorHAnsi"/>
          <w:lang w:val="en-GB"/>
        </w:rPr>
        <w:t xml:space="preserve"> Chambers </w:t>
      </w:r>
      <w:r w:rsidR="00966F39" w:rsidRPr="00A15F4C">
        <w:rPr>
          <w:rFonts w:asciiTheme="minorHAnsi" w:hAnsiTheme="minorHAnsi" w:cstheme="majorHAnsi"/>
          <w:lang w:val="en-GB"/>
        </w:rPr>
        <w:t xml:space="preserve">is required to comply with the law governing the management and storage of personal data, which is </w:t>
      </w:r>
      <w:r w:rsidR="003D48E3" w:rsidRPr="00A15F4C">
        <w:rPr>
          <w:rFonts w:asciiTheme="minorHAnsi" w:hAnsiTheme="minorHAnsi" w:cstheme="majorHAnsi"/>
          <w:lang w:val="en-GB"/>
        </w:rPr>
        <w:t>outlined</w:t>
      </w:r>
      <w:r w:rsidR="00966F39" w:rsidRPr="00A15F4C">
        <w:rPr>
          <w:rFonts w:asciiTheme="minorHAnsi" w:hAnsiTheme="minorHAnsi" w:cstheme="majorHAnsi"/>
          <w:lang w:val="en-GB"/>
        </w:rPr>
        <w:t xml:space="preserve"> in the General Data Pr</w:t>
      </w:r>
      <w:r w:rsidR="003D48E3" w:rsidRPr="00A15F4C">
        <w:rPr>
          <w:rFonts w:asciiTheme="minorHAnsi" w:hAnsiTheme="minorHAnsi" w:cstheme="majorHAnsi"/>
          <w:lang w:val="en-GB"/>
        </w:rPr>
        <w:t xml:space="preserve">otection Regulation 2016 (GDPR) and the Data Protection </w:t>
      </w:r>
      <w:r w:rsidR="000D042E" w:rsidRPr="00A15F4C">
        <w:rPr>
          <w:rFonts w:asciiTheme="minorHAnsi" w:hAnsiTheme="minorHAnsi" w:cstheme="majorHAnsi"/>
          <w:lang w:val="en-GB"/>
        </w:rPr>
        <w:t>Act.</w:t>
      </w:r>
    </w:p>
    <w:p w14:paraId="0B890E68" w14:textId="77777777" w:rsidR="00966F39" w:rsidRPr="00A15F4C" w:rsidRDefault="00966F39" w:rsidP="00966F39">
      <w:pPr>
        <w:pStyle w:val="Body"/>
        <w:rPr>
          <w:rFonts w:asciiTheme="minorHAnsi" w:eastAsia="Arial" w:hAnsiTheme="minorHAnsi" w:cstheme="majorHAnsi"/>
          <w:lang w:val="en-GB"/>
        </w:rPr>
      </w:pPr>
    </w:p>
    <w:p w14:paraId="23FA640E" w14:textId="7770D6E3"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For this reason, protection of personal data and respect for individual privacy is fundamental to the day-to-day operations of </w:t>
      </w:r>
      <w:r w:rsidR="000D042E" w:rsidRPr="00A15F4C">
        <w:rPr>
          <w:rFonts w:asciiTheme="minorHAnsi" w:hAnsiTheme="minorHAnsi" w:cstheme="majorHAnsi"/>
          <w:lang w:val="en-GB"/>
        </w:rPr>
        <w:t>Chambers</w:t>
      </w:r>
      <w:r w:rsidRPr="00A15F4C">
        <w:rPr>
          <w:rFonts w:asciiTheme="minorHAnsi" w:hAnsiTheme="minorHAnsi" w:cstheme="majorHAnsi"/>
          <w:lang w:val="en-GB"/>
        </w:rPr>
        <w:t>.</w:t>
      </w:r>
    </w:p>
    <w:p w14:paraId="57DD305F" w14:textId="77777777" w:rsidR="00966F39" w:rsidRPr="00A15F4C" w:rsidRDefault="00966F39" w:rsidP="00966F39">
      <w:pPr>
        <w:pStyle w:val="Body"/>
        <w:rPr>
          <w:rFonts w:asciiTheme="minorHAnsi" w:eastAsia="Arial" w:hAnsiTheme="minorHAnsi" w:cstheme="majorHAnsi"/>
          <w:lang w:val="en-GB"/>
        </w:rPr>
      </w:pPr>
    </w:p>
    <w:p w14:paraId="5B958AB2"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Compliance with the GDPR is overseen by the UK data protection regulator which is the Information Commissioner’s Office (ICO). This </w:t>
      </w:r>
      <w:r w:rsidR="00A6372A" w:rsidRPr="00A15F4C">
        <w:rPr>
          <w:rFonts w:asciiTheme="minorHAnsi" w:hAnsiTheme="minorHAnsi" w:cstheme="majorHAnsi"/>
          <w:lang w:val="en-GB"/>
        </w:rPr>
        <w:t>Chambers</w:t>
      </w:r>
      <w:r w:rsidRPr="00A15F4C">
        <w:rPr>
          <w:rFonts w:asciiTheme="minorHAnsi" w:hAnsiTheme="minorHAnsi" w:cstheme="majorHAnsi"/>
          <w:lang w:val="en-GB"/>
        </w:rPr>
        <w:t xml:space="preserve"> is accountable to the ICO for its data protection compliance. </w:t>
      </w:r>
    </w:p>
    <w:p w14:paraId="12F6B4DF" w14:textId="77777777" w:rsidR="00966F39" w:rsidRPr="00A15F4C" w:rsidRDefault="00966F39" w:rsidP="00966F39">
      <w:pPr>
        <w:pStyle w:val="Body"/>
        <w:rPr>
          <w:rFonts w:asciiTheme="minorHAnsi" w:eastAsia="Arial" w:hAnsiTheme="minorHAnsi" w:cstheme="majorHAnsi"/>
          <w:lang w:val="en-GB"/>
        </w:rPr>
      </w:pPr>
    </w:p>
    <w:p w14:paraId="1D857933"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Purpose</w:t>
      </w:r>
    </w:p>
    <w:p w14:paraId="2487571F" w14:textId="77777777" w:rsidR="00966F39" w:rsidRPr="00A15F4C" w:rsidRDefault="00966F39" w:rsidP="00966F39">
      <w:pPr>
        <w:pStyle w:val="Body"/>
        <w:rPr>
          <w:rFonts w:asciiTheme="minorHAnsi" w:eastAsia="Arial" w:hAnsiTheme="minorHAnsi" w:cstheme="majorHAnsi"/>
          <w:b/>
          <w:bCs/>
          <w:u w:color="70AD47"/>
          <w:lang w:val="en-GB"/>
        </w:rPr>
      </w:pPr>
    </w:p>
    <w:p w14:paraId="7725FF93" w14:textId="159F2BE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This policy aims to protect and promote the data protection rights of individuals and of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by informing </w:t>
      </w:r>
      <w:r w:rsidR="00EA01A3" w:rsidRPr="00A15F4C">
        <w:rPr>
          <w:rFonts w:asciiTheme="minorHAnsi" w:hAnsiTheme="minorHAnsi" w:cstheme="majorHAnsi"/>
          <w:lang w:val="en-GB"/>
        </w:rPr>
        <w:t xml:space="preserve">members and </w:t>
      </w:r>
      <w:r w:rsidRPr="00A15F4C">
        <w:rPr>
          <w:rFonts w:asciiTheme="minorHAnsi" w:hAnsiTheme="minorHAnsi" w:cstheme="majorHAnsi"/>
          <w:lang w:val="en-GB"/>
        </w:rPr>
        <w:t>ever</w:t>
      </w:r>
      <w:r w:rsidR="00A6372A" w:rsidRPr="00A15F4C">
        <w:rPr>
          <w:rFonts w:asciiTheme="minorHAnsi" w:hAnsiTheme="minorHAnsi" w:cstheme="majorHAnsi"/>
          <w:lang w:val="en-GB"/>
        </w:rPr>
        <w:t xml:space="preserve">yone working for and with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of their data protection obligations and of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procedures that must be followed in order to ensure compliance with the GDPR. </w:t>
      </w:r>
    </w:p>
    <w:p w14:paraId="07CA96E7" w14:textId="77777777" w:rsidR="00966F39" w:rsidRPr="00A15F4C" w:rsidRDefault="00966F39" w:rsidP="00966F39">
      <w:pPr>
        <w:pStyle w:val="Body"/>
        <w:rPr>
          <w:rFonts w:asciiTheme="minorHAnsi" w:eastAsia="Arial" w:hAnsiTheme="minorHAnsi" w:cstheme="majorHAnsi"/>
          <w:lang w:val="en-GB"/>
        </w:rPr>
      </w:pPr>
    </w:p>
    <w:p w14:paraId="020BCFFF"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Scope </w:t>
      </w:r>
    </w:p>
    <w:p w14:paraId="1A372655" w14:textId="77777777" w:rsidR="00966F39" w:rsidRPr="00A15F4C" w:rsidRDefault="00966F39" w:rsidP="00966F39">
      <w:pPr>
        <w:pStyle w:val="Body"/>
        <w:rPr>
          <w:rFonts w:asciiTheme="minorHAnsi" w:eastAsia="Arial" w:hAnsiTheme="minorHAnsi" w:cstheme="majorHAnsi"/>
          <w:b/>
          <w:bCs/>
          <w:u w:color="70AD47"/>
          <w:lang w:val="en-GB"/>
        </w:rPr>
      </w:pPr>
    </w:p>
    <w:p w14:paraId="50C6434D" w14:textId="13F01A05"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This policy applies to all </w:t>
      </w:r>
      <w:r w:rsidR="00EA01A3" w:rsidRPr="00A15F4C">
        <w:rPr>
          <w:rFonts w:asciiTheme="minorHAnsi" w:hAnsiTheme="minorHAnsi" w:cstheme="majorHAnsi"/>
          <w:lang w:val="en-GB"/>
        </w:rPr>
        <w:t xml:space="preserve">members, </w:t>
      </w:r>
      <w:r w:rsidRPr="00A15F4C">
        <w:rPr>
          <w:rFonts w:asciiTheme="minorHAnsi" w:hAnsiTheme="minorHAnsi" w:cstheme="majorHAnsi"/>
          <w:lang w:val="en-GB"/>
        </w:rPr>
        <w:t xml:space="preserve">staff (including managers), consultants and any third party </w:t>
      </w:r>
      <w:r w:rsidR="00FF5973" w:rsidRPr="00A15F4C">
        <w:rPr>
          <w:rFonts w:asciiTheme="minorHAnsi" w:hAnsiTheme="minorHAnsi" w:cstheme="majorHAnsi"/>
          <w:lang w:val="en-GB"/>
        </w:rPr>
        <w:t xml:space="preserve">to whom </w:t>
      </w:r>
      <w:r w:rsidRPr="00A15F4C">
        <w:rPr>
          <w:rFonts w:asciiTheme="minorHAnsi" w:hAnsiTheme="minorHAnsi" w:cstheme="majorHAnsi"/>
          <w:lang w:val="en-GB"/>
        </w:rPr>
        <w:t xml:space="preserve">this policy has been communicated. </w:t>
      </w:r>
    </w:p>
    <w:p w14:paraId="6110C932" w14:textId="77777777" w:rsidR="00966F39" w:rsidRPr="00A15F4C" w:rsidRDefault="00966F39" w:rsidP="00966F39">
      <w:pPr>
        <w:pStyle w:val="Body"/>
        <w:rPr>
          <w:rFonts w:asciiTheme="minorHAnsi" w:eastAsia="Arial" w:hAnsiTheme="minorHAnsi" w:cstheme="majorHAnsi"/>
          <w:lang w:val="en-GB"/>
        </w:rPr>
      </w:pPr>
    </w:p>
    <w:p w14:paraId="5C037667"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This policy covers all personal data and special categories of personal data, processed on computers or stored in manual (paper based) files. </w:t>
      </w:r>
    </w:p>
    <w:p w14:paraId="0BE23532" w14:textId="77777777" w:rsidR="00966F39" w:rsidRPr="00A15F4C" w:rsidRDefault="00966F39" w:rsidP="00966F39">
      <w:pPr>
        <w:pStyle w:val="Body"/>
        <w:rPr>
          <w:rFonts w:asciiTheme="minorHAnsi" w:eastAsia="Arial" w:hAnsiTheme="minorHAnsi" w:cstheme="majorHAnsi"/>
          <w:lang w:val="en-GB"/>
        </w:rPr>
      </w:pPr>
    </w:p>
    <w:p w14:paraId="001F8899"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Responsibility </w:t>
      </w:r>
    </w:p>
    <w:p w14:paraId="27D620D4" w14:textId="77777777" w:rsidR="00417659" w:rsidRPr="00A15F4C" w:rsidRDefault="00417659" w:rsidP="00966F39">
      <w:pPr>
        <w:pStyle w:val="Body"/>
        <w:rPr>
          <w:rFonts w:asciiTheme="minorHAnsi" w:eastAsia="Arial" w:hAnsiTheme="minorHAnsi" w:cstheme="majorHAnsi"/>
          <w:b/>
          <w:bCs/>
          <w:u w:color="70AD47"/>
          <w:lang w:val="en-GB"/>
        </w:rPr>
      </w:pPr>
    </w:p>
    <w:p w14:paraId="191BD59C" w14:textId="46E928BB" w:rsidR="00966F39" w:rsidRPr="00A15F4C" w:rsidRDefault="006A507F" w:rsidP="00966F39">
      <w:pPr>
        <w:pStyle w:val="Body"/>
        <w:rPr>
          <w:rFonts w:asciiTheme="minorHAnsi" w:eastAsia="Arial" w:hAnsiTheme="minorHAnsi" w:cstheme="majorHAnsi"/>
          <w:lang w:val="en-GB"/>
        </w:rPr>
      </w:pPr>
      <w:r w:rsidRPr="00A15F4C">
        <w:rPr>
          <w:rFonts w:asciiTheme="minorHAnsi" w:hAnsiTheme="minorHAnsi" w:cstheme="majorHAnsi"/>
          <w:lang w:val="en-GB"/>
        </w:rPr>
        <w:t>T</w:t>
      </w:r>
      <w:r w:rsidR="00417659" w:rsidRPr="00A15F4C">
        <w:rPr>
          <w:rFonts w:asciiTheme="minorHAnsi" w:hAnsiTheme="minorHAnsi" w:cstheme="majorHAnsi"/>
          <w:lang w:val="en-GB"/>
        </w:rPr>
        <w:t>he</w:t>
      </w:r>
      <w:r w:rsidR="00966F39" w:rsidRPr="00A15F4C">
        <w:rPr>
          <w:rFonts w:asciiTheme="minorHAnsi" w:hAnsiTheme="minorHAnsi" w:cstheme="majorHAnsi"/>
          <w:lang w:val="en-GB"/>
        </w:rPr>
        <w:t xml:space="preserve"> </w:t>
      </w:r>
      <w:r w:rsidR="000D042E" w:rsidRPr="00A15F4C">
        <w:rPr>
          <w:rFonts w:asciiTheme="minorHAnsi" w:hAnsiTheme="minorHAnsi" w:cstheme="majorHAnsi"/>
          <w:lang w:val="en-GB"/>
        </w:rPr>
        <w:t>Chambers</w:t>
      </w:r>
      <w:r w:rsidR="00417659" w:rsidRPr="00A15F4C">
        <w:rPr>
          <w:rFonts w:asciiTheme="minorHAnsi" w:hAnsiTheme="minorHAnsi" w:cstheme="majorHAnsi"/>
          <w:lang w:val="en-GB"/>
        </w:rPr>
        <w:t xml:space="preserve"> Manager </w:t>
      </w:r>
      <w:r w:rsidR="00966F39" w:rsidRPr="00A15F4C">
        <w:rPr>
          <w:rFonts w:asciiTheme="minorHAnsi" w:hAnsiTheme="minorHAnsi" w:cstheme="majorHAnsi"/>
          <w:lang w:val="en-GB"/>
        </w:rPr>
        <w:t xml:space="preserve">is responsible for monitoring </w:t>
      </w:r>
      <w:r w:rsidR="000D042E" w:rsidRPr="00A15F4C">
        <w:rPr>
          <w:rFonts w:asciiTheme="minorHAnsi" w:hAnsiTheme="minorHAnsi" w:cstheme="majorHAnsi"/>
          <w:lang w:val="en-GB"/>
        </w:rPr>
        <w:t>Chambers</w:t>
      </w:r>
      <w:r w:rsidR="004A319D" w:rsidRPr="00A15F4C">
        <w:rPr>
          <w:rFonts w:asciiTheme="minorHAnsi" w:hAnsiTheme="minorHAnsi" w:cstheme="majorHAnsi"/>
          <w:lang w:val="en-GB"/>
        </w:rPr>
        <w:t>’</w:t>
      </w:r>
      <w:r w:rsidR="00966F39" w:rsidRPr="00A15F4C">
        <w:rPr>
          <w:rFonts w:asciiTheme="minorHAnsi" w:hAnsiTheme="minorHAnsi" w:cstheme="majorHAnsi"/>
          <w:lang w:val="en-GB"/>
        </w:rPr>
        <w:t xml:space="preserve"> compliance with this policy. </w:t>
      </w:r>
    </w:p>
    <w:p w14:paraId="5BDE7299" w14:textId="77777777" w:rsidR="00966F39" w:rsidRPr="00A15F4C" w:rsidRDefault="00966F39" w:rsidP="00966F39">
      <w:pPr>
        <w:pStyle w:val="Body"/>
        <w:rPr>
          <w:rFonts w:asciiTheme="minorHAnsi" w:eastAsia="Arial" w:hAnsiTheme="minorHAnsi" w:cstheme="majorHAnsi"/>
          <w:lang w:val="en-GB"/>
        </w:rPr>
      </w:pPr>
    </w:p>
    <w:p w14:paraId="7FDF48DF" w14:textId="456D9406"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Everyone in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(and any third party to whom this policy applies to) is responsible for ensuring that they comply with this policy. Failure to do so may result in disciplinary action. </w:t>
      </w:r>
    </w:p>
    <w:p w14:paraId="077D32EB" w14:textId="7357F6EF" w:rsidR="00CD3E53" w:rsidRPr="00A15F4C" w:rsidRDefault="00CD3E53" w:rsidP="00CD3E53">
      <w:pPr>
        <w:pStyle w:val="Body"/>
        <w:rPr>
          <w:rFonts w:asciiTheme="minorHAnsi" w:eastAsia="Arial" w:hAnsiTheme="minorHAnsi" w:cstheme="majorHAnsi"/>
          <w:b/>
          <w:bCs/>
          <w:u w:color="70AD47"/>
          <w:lang w:val="en-GB"/>
        </w:rPr>
      </w:pPr>
    </w:p>
    <w:p w14:paraId="6359E112" w14:textId="6D6D3647" w:rsidR="00417659" w:rsidRPr="00A15F4C" w:rsidRDefault="00417659" w:rsidP="00CD3E53">
      <w:pPr>
        <w:pStyle w:val="Body"/>
        <w:rPr>
          <w:rFonts w:asciiTheme="minorHAnsi" w:eastAsia="Arial" w:hAnsiTheme="minorHAnsi" w:cstheme="majorHAnsi"/>
          <w:b/>
          <w:bCs/>
          <w:color w:val="002060"/>
          <w:u w:color="70AD47"/>
          <w:lang w:val="en-GB"/>
        </w:rPr>
      </w:pPr>
      <w:r w:rsidRPr="00A15F4C">
        <w:rPr>
          <w:rFonts w:asciiTheme="minorHAnsi" w:eastAsia="Arial" w:hAnsiTheme="minorHAnsi" w:cstheme="majorHAnsi"/>
          <w:b/>
          <w:bCs/>
          <w:color w:val="002060"/>
          <w:u w:color="70AD47"/>
          <w:lang w:val="en-GB"/>
        </w:rPr>
        <w:t>Data Protection Manager</w:t>
      </w:r>
    </w:p>
    <w:p w14:paraId="65F93B4A" w14:textId="77777777" w:rsidR="00417659" w:rsidRPr="00A15F4C" w:rsidRDefault="00417659" w:rsidP="00CD3E53">
      <w:pPr>
        <w:pStyle w:val="Body"/>
        <w:rPr>
          <w:rFonts w:asciiTheme="minorHAnsi" w:eastAsia="Arial" w:hAnsiTheme="minorHAnsi" w:cstheme="majorHAnsi"/>
          <w:b/>
          <w:bCs/>
          <w:u w:color="70AD47"/>
          <w:lang w:val="en-GB"/>
        </w:rPr>
      </w:pPr>
    </w:p>
    <w:p w14:paraId="529651A1" w14:textId="29620490" w:rsidR="00417659" w:rsidRPr="00A15F4C" w:rsidRDefault="00417659" w:rsidP="00CD3E53">
      <w:pPr>
        <w:pStyle w:val="Body"/>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Chambers has appointed Kate Le Queux as its Data Protection Manager (DPM). This is not a statutory role.</w:t>
      </w:r>
    </w:p>
    <w:p w14:paraId="779BA6FC" w14:textId="1702B112" w:rsidR="00417659" w:rsidRPr="00A15F4C" w:rsidRDefault="006A507F" w:rsidP="00CD3E53">
      <w:pPr>
        <w:pStyle w:val="Body"/>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 xml:space="preserve">The </w:t>
      </w:r>
      <w:r w:rsidR="00417659" w:rsidRPr="00A15F4C">
        <w:rPr>
          <w:rFonts w:asciiTheme="minorHAnsi" w:eastAsia="Arial" w:hAnsiTheme="minorHAnsi" w:cstheme="majorHAnsi"/>
          <w:bCs/>
          <w:u w:color="70AD47"/>
          <w:lang w:val="en-GB"/>
        </w:rPr>
        <w:t>responsibilities within this role include:</w:t>
      </w:r>
    </w:p>
    <w:p w14:paraId="7E1A0787" w14:textId="77777777" w:rsidR="00417659" w:rsidRPr="00A15F4C" w:rsidRDefault="00417659" w:rsidP="00CD3E53">
      <w:pPr>
        <w:pStyle w:val="Body"/>
        <w:rPr>
          <w:rFonts w:asciiTheme="minorHAnsi" w:eastAsia="Arial" w:hAnsiTheme="minorHAnsi" w:cstheme="majorHAnsi"/>
          <w:bCs/>
          <w:u w:color="70AD47"/>
          <w:lang w:val="en-GB"/>
        </w:rPr>
      </w:pPr>
    </w:p>
    <w:p w14:paraId="43023B97" w14:textId="18EA0893"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Developing and implementing data protection policies and procedures;</w:t>
      </w:r>
    </w:p>
    <w:p w14:paraId="02C69FB8" w14:textId="6DE55C5A"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Arranging periodic data protection training for all staff and members which is appropriate to them;</w:t>
      </w:r>
    </w:p>
    <w:p w14:paraId="6557A1C1" w14:textId="208E7B77"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Acting as a point of contact for all colleagues, staff and members on data protection matters;</w:t>
      </w:r>
    </w:p>
    <w:p w14:paraId="1314D079" w14:textId="3C751FCC"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Monitoring Chambers’ compliance with its data protection policy and procedures;</w:t>
      </w:r>
    </w:p>
    <w:p w14:paraId="745197A5" w14:textId="0109EF3C"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Promoting a culture of data protection awareness;</w:t>
      </w:r>
    </w:p>
    <w:p w14:paraId="752B8E16" w14:textId="71E9511F"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Assisting with investigations into data protection breaches and helping Chambers learn from them;</w:t>
      </w:r>
    </w:p>
    <w:p w14:paraId="22F6D22A" w14:textId="2FC3C863"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 xml:space="preserve">Advising on Data Protection Impact Assessments; and </w:t>
      </w:r>
    </w:p>
    <w:p w14:paraId="1EDA177D" w14:textId="56B5A2A4" w:rsidR="00417659" w:rsidRPr="00A15F4C" w:rsidRDefault="00417659" w:rsidP="00417659">
      <w:pPr>
        <w:pStyle w:val="Body"/>
        <w:numPr>
          <w:ilvl w:val="0"/>
          <w:numId w:val="11"/>
        </w:numPr>
        <w:rPr>
          <w:rFonts w:asciiTheme="minorHAnsi" w:eastAsia="Arial" w:hAnsiTheme="minorHAnsi" w:cstheme="majorHAnsi"/>
          <w:bCs/>
          <w:u w:color="70AD47"/>
          <w:lang w:val="en-GB"/>
        </w:rPr>
      </w:pPr>
      <w:r w:rsidRPr="00A15F4C">
        <w:rPr>
          <w:rFonts w:asciiTheme="minorHAnsi" w:eastAsia="Arial" w:hAnsiTheme="minorHAnsi" w:cstheme="majorHAnsi"/>
          <w:bCs/>
          <w:u w:color="70AD47"/>
          <w:lang w:val="en-GB"/>
        </w:rPr>
        <w:t>Liaising with the relevant supervisory authorities as necessary (i.e. the Information Commissioner’s Office in the UK).</w:t>
      </w:r>
    </w:p>
    <w:p w14:paraId="2A66F274" w14:textId="77777777" w:rsidR="00426317" w:rsidRPr="00A15F4C" w:rsidRDefault="00426317" w:rsidP="00966F39">
      <w:pPr>
        <w:pStyle w:val="Body"/>
        <w:rPr>
          <w:rFonts w:asciiTheme="minorHAnsi" w:hAnsiTheme="minorHAnsi" w:cstheme="majorHAnsi"/>
          <w:b/>
          <w:bCs/>
          <w:u w:color="70AD47"/>
          <w:lang w:val="en-GB"/>
        </w:rPr>
      </w:pPr>
    </w:p>
    <w:p w14:paraId="479FB7A2" w14:textId="77777777" w:rsidR="00417659" w:rsidRPr="00A15F4C" w:rsidRDefault="00417659" w:rsidP="00966F39">
      <w:pPr>
        <w:pStyle w:val="Body"/>
        <w:rPr>
          <w:rFonts w:asciiTheme="minorHAnsi" w:hAnsiTheme="minorHAnsi" w:cstheme="majorHAnsi"/>
          <w:b/>
          <w:bCs/>
          <w:u w:color="70AD47"/>
          <w:lang w:val="en-GB"/>
        </w:rPr>
      </w:pPr>
    </w:p>
    <w:p w14:paraId="5554A9C7" w14:textId="77777777" w:rsidR="00417659" w:rsidRPr="00A15F4C" w:rsidRDefault="00417659" w:rsidP="00966F39">
      <w:pPr>
        <w:pStyle w:val="Body"/>
        <w:rPr>
          <w:rFonts w:asciiTheme="minorHAnsi" w:hAnsiTheme="minorHAnsi" w:cstheme="majorHAnsi"/>
          <w:b/>
          <w:bCs/>
          <w:u w:color="70AD47"/>
          <w:lang w:val="en-GB"/>
        </w:rPr>
      </w:pPr>
    </w:p>
    <w:p w14:paraId="098DB707"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GDPR</w:t>
      </w:r>
    </w:p>
    <w:p w14:paraId="1CB34057" w14:textId="77777777" w:rsidR="00966F39" w:rsidRPr="00A15F4C" w:rsidRDefault="00966F39" w:rsidP="00966F39">
      <w:pPr>
        <w:pStyle w:val="Body"/>
        <w:rPr>
          <w:rFonts w:asciiTheme="minorHAnsi" w:eastAsia="Arial" w:hAnsiTheme="minorHAnsi" w:cstheme="majorHAnsi"/>
          <w:b/>
          <w:bCs/>
          <w:u w:color="70AD47"/>
          <w:lang w:val="en-GB"/>
        </w:rPr>
      </w:pPr>
    </w:p>
    <w:p w14:paraId="23B8174F" w14:textId="2F6C4E0A"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The GDPR is designed to protect individuals and personal data which is held and processed about them by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or other individuals.</w:t>
      </w:r>
    </w:p>
    <w:p w14:paraId="6862F309" w14:textId="77777777" w:rsidR="00966F39" w:rsidRPr="00A15F4C" w:rsidRDefault="00966F39" w:rsidP="00966F39">
      <w:pPr>
        <w:pStyle w:val="Body"/>
        <w:rPr>
          <w:rFonts w:asciiTheme="minorHAnsi" w:eastAsia="Arial" w:hAnsiTheme="minorHAnsi" w:cstheme="majorHAnsi"/>
          <w:lang w:val="en-GB"/>
        </w:rPr>
      </w:pPr>
    </w:p>
    <w:p w14:paraId="37128918"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The GDPR uses some key terms to refer to individuals, those processing personal data about individuals and types of data covered by the Regulation. These key terms are:</w:t>
      </w:r>
    </w:p>
    <w:p w14:paraId="5D223BFA" w14:textId="77777777" w:rsidR="00966F39" w:rsidRPr="00A15F4C" w:rsidRDefault="00966F39" w:rsidP="00966F39">
      <w:pPr>
        <w:pStyle w:val="Body"/>
        <w:rPr>
          <w:rFonts w:asciiTheme="minorHAnsi" w:eastAsia="Arial" w:hAnsiTheme="minorHAnsi" w:cstheme="majorHAnsi"/>
          <w:lang w:val="en-GB"/>
        </w:rPr>
      </w:pPr>
    </w:p>
    <w:p w14:paraId="0563D2FF"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hAnsiTheme="minorHAnsi" w:cstheme="majorHAnsi"/>
          <w:b/>
          <w:bCs/>
          <w:color w:val="002060"/>
          <w:lang w:val="en-GB"/>
        </w:rPr>
        <w:t>Personal data</w:t>
      </w:r>
      <w:r w:rsidRPr="00A15F4C">
        <w:rPr>
          <w:rFonts w:asciiTheme="minorHAnsi" w:hAnsiTheme="minorHAnsi" w:cstheme="majorHAnsi"/>
          <w:b/>
          <w:bCs/>
          <w:lang w:val="en-GB"/>
        </w:rPr>
        <w:tab/>
      </w:r>
      <w:proofErr w:type="gramStart"/>
      <w:r w:rsidRPr="00A15F4C">
        <w:rPr>
          <w:rFonts w:asciiTheme="minorHAnsi" w:hAnsiTheme="minorHAnsi" w:cstheme="majorHAnsi"/>
          <w:lang w:val="en-GB"/>
        </w:rPr>
        <w:t>Means</w:t>
      </w:r>
      <w:proofErr w:type="gramEnd"/>
      <w:r w:rsidRPr="00A15F4C">
        <w:rPr>
          <w:rFonts w:asciiTheme="minorHAnsi" w:hAnsiTheme="minorHAnsi" w:cstheme="majorHAnsi"/>
          <w:lang w:val="en-GB"/>
        </w:rPr>
        <w:t xml:space="preserve"> any information relating to an identified and identifiable natural person </w:t>
      </w:r>
      <w:r w:rsidRPr="00A15F4C">
        <w:rPr>
          <w:rFonts w:asciiTheme="minorHAnsi" w:hAnsiTheme="minorHAnsi" w:cstheme="majorHAnsi"/>
          <w:b/>
          <w:bCs/>
          <w:lang w:val="en-GB"/>
        </w:rPr>
        <w:t>(‘data subject’)</w:t>
      </w:r>
    </w:p>
    <w:p w14:paraId="61A226B3" w14:textId="68FAA282" w:rsidR="00966F39" w:rsidRPr="00A15F4C" w:rsidRDefault="00FF5973" w:rsidP="00966F39">
      <w:pPr>
        <w:pStyle w:val="Body"/>
        <w:ind w:left="2880"/>
        <w:rPr>
          <w:rFonts w:asciiTheme="minorHAnsi" w:eastAsia="Arial" w:hAnsiTheme="minorHAnsi" w:cstheme="majorHAnsi"/>
          <w:lang w:val="en-GB"/>
        </w:rPr>
      </w:pPr>
      <w:r w:rsidRPr="00A15F4C">
        <w:rPr>
          <w:rFonts w:asciiTheme="minorHAnsi" w:hAnsiTheme="minorHAnsi" w:cstheme="majorHAnsi"/>
          <w:lang w:val="en-GB"/>
        </w:rPr>
        <w:t>This includes for example</w:t>
      </w:r>
      <w:r w:rsidR="00966F39" w:rsidRPr="00A15F4C">
        <w:rPr>
          <w:rFonts w:asciiTheme="minorHAnsi" w:hAnsiTheme="minorHAnsi" w:cstheme="majorHAnsi"/>
          <w:lang w:val="en-GB"/>
        </w:rPr>
        <w:t xml:space="preserve"> information from which a person can be identified, directly or indirectly, by reference to an identifier i.e. name; ID number; location data; online identifiers etc. </w:t>
      </w:r>
    </w:p>
    <w:p w14:paraId="24B3855C" w14:textId="77777777" w:rsidR="00966F39" w:rsidRPr="00A15F4C" w:rsidRDefault="00966F39" w:rsidP="00966F39">
      <w:pPr>
        <w:pStyle w:val="Body"/>
        <w:ind w:left="2880"/>
        <w:rPr>
          <w:rFonts w:asciiTheme="minorHAnsi" w:eastAsia="Arial" w:hAnsiTheme="minorHAnsi" w:cstheme="majorHAnsi"/>
          <w:lang w:val="en-GB"/>
        </w:rPr>
      </w:pPr>
      <w:r w:rsidRPr="00A15F4C">
        <w:rPr>
          <w:rFonts w:asciiTheme="minorHAnsi" w:hAnsiTheme="minorHAnsi" w:cstheme="majorHAnsi"/>
          <w:lang w:val="en-GB"/>
        </w:rPr>
        <w:t xml:space="preserve">It also includes information that identified the physical, physiological, genetic, mental, economic, cultural or social identity of a person. </w:t>
      </w:r>
    </w:p>
    <w:p w14:paraId="160FD638" w14:textId="3A85B4A6" w:rsidR="00966F39" w:rsidRPr="00A15F4C" w:rsidRDefault="00966F39" w:rsidP="00966F39">
      <w:pPr>
        <w:pStyle w:val="Body"/>
        <w:ind w:left="2880"/>
        <w:rPr>
          <w:rFonts w:asciiTheme="minorHAnsi" w:eastAsia="Arial" w:hAnsiTheme="minorHAnsi" w:cstheme="majorHAnsi"/>
          <w:lang w:val="en-GB"/>
        </w:rPr>
      </w:pPr>
      <w:r w:rsidRPr="00A15F4C">
        <w:rPr>
          <w:rFonts w:asciiTheme="minorHAnsi" w:hAnsiTheme="minorHAnsi" w:cstheme="majorHAnsi"/>
          <w:u w:color="70AD47"/>
          <w:lang w:val="en-GB"/>
        </w:rPr>
        <w:t xml:space="preserve">For </w:t>
      </w:r>
      <w:r w:rsidR="000D042E" w:rsidRPr="00A15F4C">
        <w:rPr>
          <w:rFonts w:asciiTheme="minorHAnsi" w:hAnsiTheme="minorHAnsi" w:cstheme="majorHAnsi"/>
          <w:u w:color="70AD47"/>
          <w:lang w:val="en-GB"/>
        </w:rPr>
        <w:t>Chambers</w:t>
      </w:r>
      <w:r w:rsidR="004A319D" w:rsidRPr="00A15F4C">
        <w:rPr>
          <w:rFonts w:asciiTheme="minorHAnsi" w:hAnsiTheme="minorHAnsi" w:cstheme="majorHAnsi"/>
          <w:lang w:val="en-GB"/>
        </w:rPr>
        <w:t>’</w:t>
      </w:r>
      <w:r w:rsidRPr="00A15F4C">
        <w:rPr>
          <w:rFonts w:asciiTheme="minorHAnsi" w:hAnsiTheme="minorHAnsi" w:cstheme="majorHAnsi"/>
          <w:u w:color="70AD47"/>
          <w:lang w:val="en-GB"/>
        </w:rPr>
        <w:t xml:space="preserve"> purposes, </w:t>
      </w:r>
      <w:r w:rsidR="00FF6250" w:rsidRPr="00A15F4C">
        <w:rPr>
          <w:rFonts w:asciiTheme="minorHAnsi" w:hAnsiTheme="minorHAnsi" w:cstheme="majorHAnsi"/>
          <w:u w:color="70AD47"/>
          <w:lang w:val="en-GB"/>
        </w:rPr>
        <w:t xml:space="preserve">Barristers’ </w:t>
      </w:r>
      <w:r w:rsidRPr="00A15F4C">
        <w:rPr>
          <w:rFonts w:asciiTheme="minorHAnsi" w:hAnsiTheme="minorHAnsi" w:cstheme="majorHAnsi"/>
          <w:u w:color="70AD47"/>
          <w:lang w:val="en-GB"/>
        </w:rPr>
        <w:t xml:space="preserve">clients </w:t>
      </w:r>
      <w:r w:rsidR="00FF6250" w:rsidRPr="00A15F4C">
        <w:rPr>
          <w:rFonts w:asciiTheme="minorHAnsi" w:hAnsiTheme="minorHAnsi" w:cstheme="majorHAnsi"/>
          <w:u w:color="70AD47"/>
          <w:lang w:val="en-GB"/>
        </w:rPr>
        <w:t xml:space="preserve">and Chambers’ staff </w:t>
      </w:r>
      <w:r w:rsidRPr="00A15F4C">
        <w:rPr>
          <w:rFonts w:asciiTheme="minorHAnsi" w:hAnsiTheme="minorHAnsi" w:cstheme="majorHAnsi"/>
          <w:u w:color="70AD47"/>
          <w:lang w:val="en-GB"/>
        </w:rPr>
        <w:t xml:space="preserve">are data subjects (other individual third parties </w:t>
      </w:r>
      <w:r w:rsidR="00FF5973" w:rsidRPr="00A15F4C">
        <w:rPr>
          <w:rFonts w:asciiTheme="minorHAnsi" w:hAnsiTheme="minorHAnsi" w:cstheme="majorHAnsi"/>
          <w:u w:color="70AD47"/>
          <w:lang w:val="en-GB"/>
        </w:rPr>
        <w:t xml:space="preserve">concerning whom </w:t>
      </w:r>
      <w:r w:rsidRPr="00A15F4C">
        <w:rPr>
          <w:rFonts w:asciiTheme="minorHAnsi" w:hAnsiTheme="minorHAnsi" w:cstheme="majorHAnsi"/>
          <w:u w:color="70AD47"/>
          <w:lang w:val="en-GB"/>
        </w:rPr>
        <w:t>we hold personal data about are also likely to be data subjects).</w:t>
      </w:r>
    </w:p>
    <w:p w14:paraId="7899D3DE" w14:textId="77777777" w:rsidR="00966F39" w:rsidRPr="00A15F4C" w:rsidRDefault="00966F39" w:rsidP="00966F39">
      <w:pPr>
        <w:pStyle w:val="Body"/>
        <w:ind w:left="2880" w:hanging="2880"/>
        <w:rPr>
          <w:rFonts w:asciiTheme="minorHAnsi" w:eastAsia="Arial" w:hAnsiTheme="minorHAnsi" w:cstheme="majorHAnsi"/>
          <w:lang w:val="en-GB"/>
        </w:rPr>
      </w:pPr>
    </w:p>
    <w:p w14:paraId="1E90536F" w14:textId="231FAC84" w:rsidR="00966F39" w:rsidRPr="00A15F4C" w:rsidRDefault="00966F39" w:rsidP="00FF5973">
      <w:pPr>
        <w:pStyle w:val="Body"/>
        <w:ind w:left="2880" w:hanging="2880"/>
        <w:rPr>
          <w:rFonts w:asciiTheme="minorHAnsi" w:eastAsia="Arial" w:hAnsiTheme="minorHAnsi" w:cstheme="majorHAnsi"/>
          <w:lang w:val="en-GB"/>
        </w:rPr>
      </w:pPr>
      <w:r w:rsidRPr="00A15F4C">
        <w:rPr>
          <w:rFonts w:asciiTheme="minorHAnsi" w:hAnsiTheme="minorHAnsi" w:cstheme="majorHAnsi"/>
          <w:color w:val="002060"/>
          <w:lang w:val="en-GB"/>
        </w:rPr>
        <w:t xml:space="preserve"> </w:t>
      </w:r>
      <w:r w:rsidRPr="00A15F4C">
        <w:rPr>
          <w:rFonts w:asciiTheme="minorHAnsi" w:hAnsiTheme="minorHAnsi" w:cstheme="majorHAnsi"/>
          <w:b/>
          <w:bCs/>
          <w:color w:val="002060"/>
          <w:lang w:val="en-GB"/>
        </w:rPr>
        <w:t xml:space="preserve">Controller </w:t>
      </w:r>
      <w:r w:rsidRPr="00A15F4C">
        <w:rPr>
          <w:rFonts w:asciiTheme="minorHAnsi" w:hAnsiTheme="minorHAnsi" w:cstheme="majorHAnsi"/>
          <w:b/>
          <w:bCs/>
          <w:lang w:val="en-GB"/>
        </w:rPr>
        <w:tab/>
      </w:r>
      <w:r w:rsidRPr="00A15F4C">
        <w:rPr>
          <w:rFonts w:asciiTheme="minorHAnsi" w:hAnsiTheme="minorHAnsi" w:cstheme="majorHAnsi"/>
          <w:lang w:val="en-GB"/>
        </w:rPr>
        <w:t>Means the natural or legal person, public authority, agency or other body who alone or jointly with others, determines the purposes and means of processing the personal data.</w:t>
      </w:r>
      <w:r w:rsidR="00FF5973" w:rsidRPr="00A15F4C">
        <w:rPr>
          <w:rFonts w:asciiTheme="minorHAnsi" w:hAnsiTheme="minorHAnsi" w:cstheme="majorHAnsi"/>
          <w:lang w:val="en-GB"/>
        </w:rPr>
        <w:t xml:space="preserve"> In effect, this means</w:t>
      </w:r>
      <w:r w:rsidR="00FF5973" w:rsidRPr="00A15F4C">
        <w:rPr>
          <w:rFonts w:asciiTheme="minorHAnsi" w:eastAsia="Arial" w:hAnsiTheme="minorHAnsi" w:cstheme="majorHAnsi"/>
          <w:b/>
          <w:bCs/>
          <w:lang w:val="en-GB"/>
        </w:rPr>
        <w:t xml:space="preserve"> </w:t>
      </w:r>
      <w:r w:rsidRPr="00A15F4C">
        <w:rPr>
          <w:rFonts w:asciiTheme="minorHAnsi" w:hAnsiTheme="minorHAnsi" w:cstheme="majorHAnsi"/>
          <w:lang w:val="en-GB"/>
        </w:rPr>
        <w:t xml:space="preserve">the controller is the individual, organisation or other body that decides how personal data will be collected and used. </w:t>
      </w:r>
    </w:p>
    <w:p w14:paraId="21DD7D8D" w14:textId="261968D2" w:rsidR="00966F39" w:rsidRPr="00A15F4C" w:rsidRDefault="00966F39" w:rsidP="00966F39">
      <w:pPr>
        <w:pStyle w:val="Body"/>
        <w:ind w:left="2880" w:hanging="2880"/>
        <w:rPr>
          <w:rFonts w:asciiTheme="minorHAnsi" w:eastAsia="Arial" w:hAnsiTheme="minorHAnsi" w:cstheme="majorHAnsi"/>
          <w:u w:color="70AD47"/>
          <w:lang w:val="en-GB"/>
        </w:rPr>
      </w:pPr>
      <w:r w:rsidRPr="00A15F4C">
        <w:rPr>
          <w:rFonts w:asciiTheme="minorHAnsi" w:eastAsia="Arial" w:hAnsiTheme="minorHAnsi" w:cstheme="majorHAnsi"/>
          <w:lang w:val="en-GB"/>
        </w:rPr>
        <w:lastRenderedPageBreak/>
        <w:tab/>
      </w:r>
      <w:r w:rsidR="004A319D" w:rsidRPr="00A15F4C">
        <w:rPr>
          <w:rFonts w:asciiTheme="minorHAnsi" w:hAnsiTheme="minorHAnsi" w:cstheme="majorHAnsi"/>
          <w:u w:color="70AD47"/>
          <w:lang w:val="en-GB"/>
        </w:rPr>
        <w:t xml:space="preserve">For </w:t>
      </w:r>
      <w:r w:rsidR="000D042E" w:rsidRPr="00A15F4C">
        <w:rPr>
          <w:rFonts w:asciiTheme="minorHAnsi" w:hAnsiTheme="minorHAnsi" w:cstheme="majorHAnsi"/>
          <w:u w:color="70AD47"/>
          <w:lang w:val="en-GB"/>
        </w:rPr>
        <w:t>Chambers</w:t>
      </w:r>
      <w:r w:rsidR="004A319D" w:rsidRPr="00A15F4C">
        <w:rPr>
          <w:rFonts w:asciiTheme="minorHAnsi" w:hAnsiTheme="minorHAnsi" w:cstheme="majorHAnsi"/>
          <w:lang w:val="en-GB"/>
        </w:rPr>
        <w:t>’</w:t>
      </w:r>
      <w:r w:rsidRPr="00A15F4C">
        <w:rPr>
          <w:rFonts w:asciiTheme="minorHAnsi" w:hAnsiTheme="minorHAnsi" w:cstheme="majorHAnsi"/>
          <w:u w:color="70AD47"/>
          <w:lang w:val="en-GB"/>
        </w:rPr>
        <w:t xml:space="preserve"> purposes, this </w:t>
      </w:r>
      <w:r w:rsidR="009D2FCE" w:rsidRPr="00A15F4C">
        <w:rPr>
          <w:rFonts w:asciiTheme="minorHAnsi" w:hAnsiTheme="minorHAnsi" w:cstheme="majorHAnsi"/>
          <w:u w:color="70AD47"/>
          <w:lang w:val="en-GB"/>
        </w:rPr>
        <w:t>Chambers is a data controller for certain categories of data.</w:t>
      </w:r>
    </w:p>
    <w:p w14:paraId="492654DA" w14:textId="77777777" w:rsidR="00966F39" w:rsidRPr="00A15F4C" w:rsidRDefault="00966F39" w:rsidP="00966F39">
      <w:pPr>
        <w:pStyle w:val="Body"/>
        <w:rPr>
          <w:rFonts w:asciiTheme="minorHAnsi" w:eastAsia="Arial" w:hAnsiTheme="minorHAnsi" w:cstheme="majorHAnsi"/>
          <w:lang w:val="en-GB"/>
        </w:rPr>
      </w:pPr>
    </w:p>
    <w:p w14:paraId="5E9205BC"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hAnsiTheme="minorHAnsi" w:cstheme="majorHAnsi"/>
          <w:b/>
          <w:bCs/>
          <w:color w:val="002060"/>
          <w:lang w:val="en-GB"/>
        </w:rPr>
        <w:t xml:space="preserve">Processing </w:t>
      </w:r>
      <w:r w:rsidRPr="00A15F4C">
        <w:rPr>
          <w:rFonts w:asciiTheme="minorHAnsi" w:hAnsiTheme="minorHAnsi" w:cstheme="majorHAnsi"/>
          <w:b/>
          <w:bCs/>
          <w:lang w:val="en-GB"/>
        </w:rPr>
        <w:tab/>
      </w:r>
      <w:r w:rsidRPr="00A15F4C">
        <w:rPr>
          <w:rFonts w:asciiTheme="minorHAnsi" w:hAnsiTheme="minorHAnsi" w:cstheme="majorHAnsi"/>
          <w:lang w:val="en-GB"/>
        </w:rPr>
        <w:t>Means any operation which is performed on personal data such as: collection, recording, organisation, structuring, storage, adaptation or alteration, retrieval, consultation, use, disclosure by transmission, dissemination or otherwise making available, alignment or combination, restriction, erasure or destruction.</w:t>
      </w:r>
    </w:p>
    <w:p w14:paraId="22F2F5A2" w14:textId="5AE0339F" w:rsidR="00966F39" w:rsidRPr="00A15F4C" w:rsidRDefault="00966F39" w:rsidP="00966F39">
      <w:pPr>
        <w:pStyle w:val="Body"/>
        <w:ind w:left="2880" w:hanging="2880"/>
        <w:rPr>
          <w:rFonts w:asciiTheme="minorHAnsi" w:eastAsia="Arial" w:hAnsiTheme="minorHAnsi" w:cstheme="majorHAnsi"/>
          <w:u w:color="70AD47"/>
          <w:lang w:val="en-GB"/>
        </w:rPr>
      </w:pPr>
      <w:r w:rsidRPr="00A15F4C">
        <w:rPr>
          <w:rFonts w:asciiTheme="minorHAnsi" w:eastAsia="Arial" w:hAnsiTheme="minorHAnsi" w:cstheme="majorHAnsi"/>
          <w:b/>
          <w:bCs/>
          <w:lang w:val="en-GB"/>
        </w:rPr>
        <w:tab/>
      </w:r>
      <w:r w:rsidRPr="00A15F4C">
        <w:rPr>
          <w:rFonts w:asciiTheme="minorHAnsi" w:hAnsiTheme="minorHAnsi" w:cstheme="majorHAnsi"/>
          <w:u w:color="70AD47"/>
          <w:lang w:val="en-GB"/>
        </w:rPr>
        <w:t xml:space="preserve">For </w:t>
      </w:r>
      <w:r w:rsidR="000D042E" w:rsidRPr="00A15F4C">
        <w:rPr>
          <w:rFonts w:asciiTheme="minorHAnsi" w:hAnsiTheme="minorHAnsi" w:cstheme="majorHAnsi"/>
          <w:u w:color="70AD47"/>
          <w:lang w:val="en-GB"/>
        </w:rPr>
        <w:t>Chambers</w:t>
      </w:r>
      <w:r w:rsidR="004A319D" w:rsidRPr="00A15F4C">
        <w:rPr>
          <w:rFonts w:asciiTheme="minorHAnsi" w:hAnsiTheme="minorHAnsi" w:cstheme="majorHAnsi"/>
          <w:lang w:val="en-GB"/>
        </w:rPr>
        <w:t>’</w:t>
      </w:r>
      <w:r w:rsidRPr="00A15F4C">
        <w:rPr>
          <w:rFonts w:asciiTheme="minorHAnsi" w:hAnsiTheme="minorHAnsi" w:cstheme="majorHAnsi"/>
          <w:u w:color="70AD47"/>
          <w:lang w:val="en-GB"/>
        </w:rPr>
        <w:t xml:space="preserve"> purposes, everything that we do with client information (and personal information of third parties) is ‘processing’ as defined by the GDPR. </w:t>
      </w:r>
      <w:r w:rsidR="00A555ED" w:rsidRPr="00A15F4C">
        <w:rPr>
          <w:rFonts w:asciiTheme="minorHAnsi" w:hAnsiTheme="minorHAnsi" w:cstheme="majorHAnsi"/>
          <w:u w:color="70AD47"/>
          <w:lang w:val="en-GB"/>
        </w:rPr>
        <w:t xml:space="preserve">This processing will often be </w:t>
      </w:r>
      <w:r w:rsidR="00FF6250" w:rsidRPr="00A15F4C">
        <w:rPr>
          <w:rFonts w:asciiTheme="minorHAnsi" w:hAnsiTheme="minorHAnsi" w:cstheme="majorHAnsi"/>
          <w:u w:color="70AD47"/>
          <w:lang w:val="en-GB"/>
        </w:rPr>
        <w:t xml:space="preserve">in the capacity as a Data Processor </w:t>
      </w:r>
      <w:r w:rsidR="00A555ED" w:rsidRPr="00A15F4C">
        <w:rPr>
          <w:rFonts w:asciiTheme="minorHAnsi" w:hAnsiTheme="minorHAnsi" w:cstheme="majorHAnsi"/>
          <w:u w:color="70AD47"/>
          <w:lang w:val="en-GB"/>
        </w:rPr>
        <w:t>on behalf of a Barrister as a Data Controller.</w:t>
      </w:r>
    </w:p>
    <w:p w14:paraId="5DC616C0" w14:textId="77777777" w:rsidR="00966F39" w:rsidRPr="00A15F4C" w:rsidRDefault="00966F39" w:rsidP="00966F39">
      <w:pPr>
        <w:pStyle w:val="Body"/>
        <w:ind w:left="2880" w:hanging="2880"/>
        <w:rPr>
          <w:rFonts w:asciiTheme="minorHAnsi" w:eastAsia="Arial" w:hAnsiTheme="minorHAnsi" w:cstheme="majorHAnsi"/>
          <w:u w:color="70AD47"/>
          <w:lang w:val="en-GB"/>
        </w:rPr>
      </w:pPr>
    </w:p>
    <w:p w14:paraId="1363A7DB"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b/>
          <w:bCs/>
          <w:color w:val="002060"/>
          <w:lang w:val="en-GB"/>
        </w:rPr>
        <w:t>Special categories</w:t>
      </w:r>
      <w:r w:rsidRPr="00A15F4C">
        <w:rPr>
          <w:rFonts w:asciiTheme="minorHAnsi" w:hAnsiTheme="minorHAnsi" w:cstheme="majorHAnsi"/>
          <w:b/>
          <w:bCs/>
          <w:color w:val="002060"/>
          <w:lang w:val="en-GB"/>
        </w:rPr>
        <w:tab/>
      </w:r>
      <w:r w:rsidRPr="00A15F4C">
        <w:rPr>
          <w:rFonts w:asciiTheme="minorHAnsi" w:hAnsiTheme="minorHAnsi" w:cstheme="majorHAnsi"/>
          <w:b/>
          <w:bCs/>
          <w:lang w:val="en-GB"/>
        </w:rPr>
        <w:tab/>
      </w:r>
      <w:r w:rsidRPr="00A15F4C">
        <w:rPr>
          <w:rFonts w:asciiTheme="minorHAnsi" w:hAnsiTheme="minorHAnsi" w:cstheme="majorHAnsi"/>
          <w:lang w:val="en-GB"/>
        </w:rPr>
        <w:t>Means personal data revealing:</w:t>
      </w:r>
    </w:p>
    <w:p w14:paraId="712B49CF" w14:textId="77777777" w:rsidR="00966F39" w:rsidRPr="00A15F4C" w:rsidRDefault="00966F39" w:rsidP="00966F39">
      <w:pPr>
        <w:pStyle w:val="Body"/>
        <w:ind w:left="2880" w:hanging="2880"/>
        <w:rPr>
          <w:rFonts w:asciiTheme="minorHAnsi" w:eastAsia="Arial" w:hAnsiTheme="minorHAnsi" w:cstheme="majorHAnsi"/>
          <w:lang w:val="en-GB"/>
        </w:rPr>
      </w:pPr>
      <w:proofErr w:type="gramStart"/>
      <w:r w:rsidRPr="00A15F4C">
        <w:rPr>
          <w:rFonts w:asciiTheme="minorHAnsi" w:hAnsiTheme="minorHAnsi" w:cstheme="majorHAnsi"/>
          <w:b/>
          <w:bCs/>
          <w:color w:val="002060"/>
          <w:lang w:val="en-GB"/>
        </w:rPr>
        <w:t>of</w:t>
      </w:r>
      <w:proofErr w:type="gramEnd"/>
      <w:r w:rsidRPr="00A15F4C">
        <w:rPr>
          <w:rFonts w:asciiTheme="minorHAnsi" w:hAnsiTheme="minorHAnsi" w:cstheme="majorHAnsi"/>
          <w:b/>
          <w:bCs/>
          <w:color w:val="002060"/>
          <w:lang w:val="en-GB"/>
        </w:rPr>
        <w:t xml:space="preserve"> personal data</w:t>
      </w:r>
      <w:r w:rsidRPr="00A15F4C">
        <w:rPr>
          <w:rFonts w:asciiTheme="minorHAnsi" w:hAnsiTheme="minorHAnsi" w:cstheme="majorHAnsi"/>
          <w:b/>
          <w:bCs/>
          <w:lang w:val="en-GB"/>
        </w:rPr>
        <w:tab/>
      </w:r>
      <w:r w:rsidRPr="00A15F4C">
        <w:rPr>
          <w:rFonts w:asciiTheme="minorHAnsi" w:hAnsiTheme="minorHAnsi" w:cstheme="majorHAnsi"/>
          <w:lang w:val="en-GB"/>
        </w:rPr>
        <w:t>a) racial or ethnic origin;</w:t>
      </w:r>
    </w:p>
    <w:p w14:paraId="24BB6E75"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b/>
          <w:bCs/>
          <w:lang w:val="en-GB"/>
        </w:rPr>
        <w:tab/>
      </w:r>
      <w:r w:rsidRPr="00A15F4C">
        <w:rPr>
          <w:rFonts w:asciiTheme="minorHAnsi" w:hAnsiTheme="minorHAnsi" w:cstheme="majorHAnsi"/>
          <w:lang w:val="en-GB"/>
        </w:rPr>
        <w:t xml:space="preserve">b) </w:t>
      </w:r>
      <w:proofErr w:type="gramStart"/>
      <w:r w:rsidRPr="00A15F4C">
        <w:rPr>
          <w:rFonts w:asciiTheme="minorHAnsi" w:hAnsiTheme="minorHAnsi" w:cstheme="majorHAnsi"/>
          <w:lang w:val="en-GB"/>
        </w:rPr>
        <w:t>political</w:t>
      </w:r>
      <w:proofErr w:type="gramEnd"/>
      <w:r w:rsidRPr="00A15F4C">
        <w:rPr>
          <w:rFonts w:asciiTheme="minorHAnsi" w:hAnsiTheme="minorHAnsi" w:cstheme="majorHAnsi"/>
          <w:lang w:val="en-GB"/>
        </w:rPr>
        <w:t xml:space="preserve"> opinions;</w:t>
      </w:r>
    </w:p>
    <w:p w14:paraId="4589337A"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lang w:val="en-GB"/>
        </w:rPr>
        <w:tab/>
        <w:t xml:space="preserve">c) </w:t>
      </w:r>
      <w:proofErr w:type="gramStart"/>
      <w:r w:rsidRPr="00A15F4C">
        <w:rPr>
          <w:rFonts w:asciiTheme="minorHAnsi" w:eastAsia="Arial" w:hAnsiTheme="minorHAnsi" w:cstheme="majorHAnsi"/>
          <w:lang w:val="en-GB"/>
        </w:rPr>
        <w:t>religious</w:t>
      </w:r>
      <w:proofErr w:type="gramEnd"/>
      <w:r w:rsidRPr="00A15F4C">
        <w:rPr>
          <w:rFonts w:asciiTheme="minorHAnsi" w:eastAsia="Arial" w:hAnsiTheme="minorHAnsi" w:cstheme="majorHAnsi"/>
          <w:lang w:val="en-GB"/>
        </w:rPr>
        <w:t xml:space="preserve"> or philosophical beliefs;</w:t>
      </w:r>
    </w:p>
    <w:p w14:paraId="3B88B945"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lang w:val="en-GB"/>
        </w:rPr>
        <w:tab/>
        <w:t>d) trade-union membership;</w:t>
      </w:r>
    </w:p>
    <w:p w14:paraId="07385FC4"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lang w:val="en-GB"/>
        </w:rPr>
        <w:tab/>
        <w:t xml:space="preserve">e) </w:t>
      </w:r>
      <w:proofErr w:type="gramStart"/>
      <w:r w:rsidRPr="00A15F4C">
        <w:rPr>
          <w:rFonts w:asciiTheme="minorHAnsi" w:eastAsia="Arial" w:hAnsiTheme="minorHAnsi" w:cstheme="majorHAnsi"/>
          <w:lang w:val="en-GB"/>
        </w:rPr>
        <w:t>the</w:t>
      </w:r>
      <w:proofErr w:type="gramEnd"/>
      <w:r w:rsidRPr="00A15F4C">
        <w:rPr>
          <w:rFonts w:asciiTheme="minorHAnsi" w:eastAsia="Arial" w:hAnsiTheme="minorHAnsi" w:cstheme="majorHAnsi"/>
          <w:lang w:val="en-GB"/>
        </w:rPr>
        <w:t xml:space="preserve"> processing of genetic data or biometric data for the purpose of uniquely identifying a natural person;</w:t>
      </w:r>
    </w:p>
    <w:p w14:paraId="18BE918F"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lang w:val="en-GB"/>
        </w:rPr>
        <w:tab/>
        <w:t xml:space="preserve">f) </w:t>
      </w:r>
      <w:proofErr w:type="gramStart"/>
      <w:r w:rsidRPr="00A15F4C">
        <w:rPr>
          <w:rFonts w:asciiTheme="minorHAnsi" w:eastAsia="Arial" w:hAnsiTheme="minorHAnsi" w:cstheme="majorHAnsi"/>
          <w:lang w:val="en-GB"/>
        </w:rPr>
        <w:t>data</w:t>
      </w:r>
      <w:proofErr w:type="gramEnd"/>
      <w:r w:rsidRPr="00A15F4C">
        <w:rPr>
          <w:rFonts w:asciiTheme="minorHAnsi" w:eastAsia="Arial" w:hAnsiTheme="minorHAnsi" w:cstheme="majorHAnsi"/>
          <w:lang w:val="en-GB"/>
        </w:rPr>
        <w:t xml:space="preserve"> concerning health or data concerning a natural person's sex life or sexual orientation</w:t>
      </w:r>
    </w:p>
    <w:p w14:paraId="61E2ECFE" w14:textId="77777777" w:rsidR="00966F39" w:rsidRPr="00A15F4C" w:rsidRDefault="00966F39" w:rsidP="00966F39">
      <w:pPr>
        <w:pStyle w:val="Body"/>
        <w:ind w:left="2880" w:hanging="2880"/>
        <w:rPr>
          <w:rFonts w:asciiTheme="minorHAnsi" w:eastAsia="Arial" w:hAnsiTheme="minorHAnsi" w:cstheme="majorHAnsi"/>
          <w:lang w:val="en-GB"/>
        </w:rPr>
      </w:pPr>
      <w:r w:rsidRPr="00A15F4C">
        <w:rPr>
          <w:rFonts w:asciiTheme="minorHAnsi" w:eastAsia="Arial" w:hAnsiTheme="minorHAnsi" w:cstheme="majorHAnsi"/>
          <w:lang w:val="en-GB"/>
        </w:rPr>
        <w:tab/>
      </w:r>
    </w:p>
    <w:p w14:paraId="59AAC881" w14:textId="662953FE" w:rsidR="00966F39" w:rsidRPr="00A15F4C" w:rsidRDefault="00966F39" w:rsidP="00966F39">
      <w:pPr>
        <w:pStyle w:val="Body"/>
        <w:ind w:left="2880"/>
        <w:rPr>
          <w:rFonts w:asciiTheme="minorHAnsi" w:eastAsia="Arial" w:hAnsiTheme="minorHAnsi" w:cstheme="majorHAnsi"/>
          <w:lang w:val="en-GB"/>
        </w:rPr>
      </w:pPr>
      <w:r w:rsidRPr="00A15F4C">
        <w:rPr>
          <w:rFonts w:asciiTheme="minorHAnsi" w:hAnsiTheme="minorHAnsi" w:cstheme="majorHAnsi"/>
          <w:lang w:val="en-GB"/>
        </w:rPr>
        <w:t>N.B. data relating to criminal convictions and offences is not included within the special categories</w:t>
      </w:r>
      <w:r w:rsidR="00FF5973" w:rsidRPr="00A15F4C">
        <w:rPr>
          <w:rFonts w:asciiTheme="minorHAnsi" w:hAnsiTheme="minorHAnsi" w:cstheme="majorHAnsi"/>
          <w:lang w:val="en-GB"/>
        </w:rPr>
        <w:t>.</w:t>
      </w:r>
      <w:r w:rsidRPr="00A15F4C">
        <w:rPr>
          <w:rFonts w:asciiTheme="minorHAnsi" w:hAnsiTheme="minorHAnsi" w:cstheme="majorHAnsi"/>
          <w:lang w:val="en-GB"/>
        </w:rPr>
        <w:t xml:space="preserve"> </w:t>
      </w:r>
      <w:r w:rsidR="00FF5973" w:rsidRPr="00A15F4C">
        <w:rPr>
          <w:rFonts w:asciiTheme="minorHAnsi" w:hAnsiTheme="minorHAnsi" w:cstheme="majorHAnsi"/>
          <w:lang w:val="en-GB"/>
        </w:rPr>
        <w:t>H</w:t>
      </w:r>
      <w:r w:rsidRPr="00A15F4C">
        <w:rPr>
          <w:rFonts w:asciiTheme="minorHAnsi" w:hAnsiTheme="minorHAnsi" w:cstheme="majorHAnsi"/>
          <w:lang w:val="en-GB"/>
        </w:rPr>
        <w:t>owever</w:t>
      </w:r>
      <w:r w:rsidR="00FF5973" w:rsidRPr="00A15F4C">
        <w:rPr>
          <w:rFonts w:asciiTheme="minorHAnsi" w:hAnsiTheme="minorHAnsi" w:cstheme="majorHAnsi"/>
          <w:lang w:val="en-GB"/>
        </w:rPr>
        <w:t>,</w:t>
      </w:r>
      <w:r w:rsidRPr="00A15F4C">
        <w:rPr>
          <w:rFonts w:asciiTheme="minorHAnsi" w:hAnsiTheme="minorHAnsi" w:cstheme="majorHAnsi"/>
          <w:lang w:val="en-GB"/>
        </w:rPr>
        <w:t xml:space="preserve"> there are additional provisions for processing this type of data (see Regulation 10 of GDPR)</w:t>
      </w:r>
    </w:p>
    <w:p w14:paraId="07DADCDA" w14:textId="77777777" w:rsidR="00966F39" w:rsidRPr="00A15F4C" w:rsidRDefault="00966F39" w:rsidP="00966F39">
      <w:pPr>
        <w:pStyle w:val="Body"/>
        <w:rPr>
          <w:rFonts w:asciiTheme="minorHAnsi" w:eastAsia="Arial" w:hAnsiTheme="minorHAnsi" w:cstheme="majorHAnsi"/>
          <w:lang w:val="en-GB"/>
        </w:rPr>
      </w:pPr>
    </w:p>
    <w:p w14:paraId="72573E74"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Data Protection Principles </w:t>
      </w:r>
    </w:p>
    <w:p w14:paraId="1803EF3D" w14:textId="77777777" w:rsidR="00966F39" w:rsidRPr="00A15F4C" w:rsidRDefault="00966F39" w:rsidP="00966F39">
      <w:pPr>
        <w:pStyle w:val="Body"/>
        <w:rPr>
          <w:rFonts w:asciiTheme="minorHAnsi" w:eastAsia="Arial" w:hAnsiTheme="minorHAnsi" w:cstheme="majorHAnsi"/>
          <w:b/>
          <w:bCs/>
          <w:u w:color="70AD47"/>
          <w:lang w:val="en-GB"/>
        </w:rPr>
      </w:pPr>
    </w:p>
    <w:p w14:paraId="69FDBDD1" w14:textId="45A2B609"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The GDPR is based around 8 principles which are the starting point to ensure compliance with the Regulation. Everybody working </w:t>
      </w:r>
      <w:r w:rsidR="00295217" w:rsidRPr="00A15F4C">
        <w:rPr>
          <w:rFonts w:asciiTheme="minorHAnsi" w:hAnsiTheme="minorHAnsi" w:cstheme="majorHAnsi"/>
          <w:lang w:val="en-GB"/>
        </w:rPr>
        <w:t xml:space="preserve">in </w:t>
      </w:r>
      <w:r w:rsidRPr="00A15F4C">
        <w:rPr>
          <w:rFonts w:asciiTheme="minorHAnsi" w:hAnsiTheme="minorHAnsi" w:cstheme="majorHAnsi"/>
          <w:lang w:val="en-GB"/>
        </w:rPr>
        <w:t xml:space="preserve">for </w:t>
      </w:r>
      <w:r w:rsidR="00295217" w:rsidRPr="00A15F4C">
        <w:rPr>
          <w:rFonts w:asciiTheme="minorHAnsi" w:hAnsiTheme="minorHAnsi" w:cstheme="majorHAnsi"/>
          <w:lang w:val="en-GB"/>
        </w:rPr>
        <w:t xml:space="preserve">and with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must adhere to these principles in performing their day-to-day duties. The principles require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to ensure that all personal data and sensitive personal data are:</w:t>
      </w:r>
    </w:p>
    <w:p w14:paraId="4667DFC7" w14:textId="77777777" w:rsidR="00966F39" w:rsidRPr="00A15F4C" w:rsidRDefault="00966F39" w:rsidP="00966F39">
      <w:pPr>
        <w:pStyle w:val="Body"/>
        <w:rPr>
          <w:rFonts w:asciiTheme="minorHAnsi" w:eastAsia="Arial" w:hAnsiTheme="minorHAnsi" w:cstheme="majorHAnsi"/>
          <w:lang w:val="en-GB"/>
        </w:rPr>
      </w:pPr>
    </w:p>
    <w:p w14:paraId="1A00C1DE"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Processed lawfully, fairly and in a transparent manner in relation to the subject (‘</w:t>
      </w:r>
      <w:r w:rsidRPr="00A15F4C">
        <w:rPr>
          <w:rFonts w:asciiTheme="minorHAnsi" w:hAnsiTheme="minorHAnsi" w:cstheme="majorHAnsi"/>
          <w:b/>
          <w:bCs/>
          <w:lang w:val="en-GB"/>
        </w:rPr>
        <w:t>lawfulness</w:t>
      </w:r>
      <w:r w:rsidRPr="00A15F4C">
        <w:rPr>
          <w:rFonts w:asciiTheme="minorHAnsi" w:hAnsiTheme="minorHAnsi" w:cstheme="majorHAnsi"/>
          <w:lang w:val="en-GB"/>
        </w:rPr>
        <w:t xml:space="preserve">, </w:t>
      </w:r>
      <w:r w:rsidRPr="00A15F4C">
        <w:rPr>
          <w:rFonts w:asciiTheme="minorHAnsi" w:hAnsiTheme="minorHAnsi" w:cstheme="majorHAnsi"/>
          <w:b/>
          <w:bCs/>
          <w:lang w:val="en-GB"/>
        </w:rPr>
        <w:t>fairness</w:t>
      </w:r>
      <w:r w:rsidRPr="00A15F4C">
        <w:rPr>
          <w:rFonts w:asciiTheme="minorHAnsi" w:hAnsiTheme="minorHAnsi" w:cstheme="majorHAnsi"/>
          <w:lang w:val="en-GB"/>
        </w:rPr>
        <w:t xml:space="preserve"> and </w:t>
      </w:r>
      <w:r w:rsidRPr="00A15F4C">
        <w:rPr>
          <w:rFonts w:asciiTheme="minorHAnsi" w:hAnsiTheme="minorHAnsi" w:cstheme="majorHAnsi"/>
          <w:b/>
          <w:bCs/>
          <w:lang w:val="en-GB"/>
        </w:rPr>
        <w:t>transparency</w:t>
      </w:r>
      <w:r w:rsidRPr="00A15F4C">
        <w:rPr>
          <w:rFonts w:asciiTheme="minorHAnsi" w:hAnsiTheme="minorHAnsi" w:cstheme="majorHAnsi"/>
          <w:lang w:val="en-GB"/>
        </w:rPr>
        <w:t xml:space="preserve">’) </w:t>
      </w:r>
    </w:p>
    <w:p w14:paraId="2A1A1CB2" w14:textId="77777777" w:rsidR="00966F39" w:rsidRPr="00A15F4C" w:rsidRDefault="00966F39" w:rsidP="00966F39">
      <w:pPr>
        <w:pStyle w:val="ListParagraph"/>
        <w:ind w:left="360"/>
        <w:rPr>
          <w:rFonts w:asciiTheme="minorHAnsi" w:eastAsia="Arial" w:hAnsiTheme="minorHAnsi" w:cstheme="majorHAnsi"/>
          <w:lang w:val="en-GB"/>
        </w:rPr>
      </w:pPr>
    </w:p>
    <w:p w14:paraId="46CB913C"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Collected for specified, explicit and legitimate purposes and not further processed in a manner that is incompatible with those purposes (‘</w:t>
      </w:r>
      <w:r w:rsidRPr="00A15F4C">
        <w:rPr>
          <w:rFonts w:asciiTheme="minorHAnsi" w:hAnsiTheme="minorHAnsi" w:cstheme="majorHAnsi"/>
          <w:b/>
          <w:bCs/>
          <w:lang w:val="en-GB"/>
        </w:rPr>
        <w:t>purpose limitation</w:t>
      </w:r>
      <w:r w:rsidRPr="00A15F4C">
        <w:rPr>
          <w:rFonts w:asciiTheme="minorHAnsi" w:hAnsiTheme="minorHAnsi" w:cstheme="majorHAnsi"/>
          <w:lang w:val="en-GB"/>
        </w:rPr>
        <w:t>’)</w:t>
      </w:r>
    </w:p>
    <w:p w14:paraId="0A8F89F6" w14:textId="77777777" w:rsidR="00966F39" w:rsidRPr="00A15F4C" w:rsidRDefault="00966F39" w:rsidP="00966F39">
      <w:pPr>
        <w:pStyle w:val="ListParagraph"/>
        <w:rPr>
          <w:rFonts w:asciiTheme="minorHAnsi" w:eastAsia="Arial" w:hAnsiTheme="minorHAnsi" w:cstheme="majorHAnsi"/>
          <w:lang w:val="en-GB"/>
        </w:rPr>
      </w:pPr>
    </w:p>
    <w:p w14:paraId="3FAC49B4"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Adequate, relevant and limited to what is necessary in relation to the purposes for which they are processed (‘</w:t>
      </w:r>
      <w:r w:rsidRPr="00A15F4C">
        <w:rPr>
          <w:rFonts w:asciiTheme="minorHAnsi" w:hAnsiTheme="minorHAnsi" w:cstheme="majorHAnsi"/>
          <w:b/>
          <w:bCs/>
          <w:lang w:val="en-GB"/>
        </w:rPr>
        <w:t>data minimisation</w:t>
      </w:r>
      <w:r w:rsidRPr="00A15F4C">
        <w:rPr>
          <w:rFonts w:asciiTheme="minorHAnsi" w:hAnsiTheme="minorHAnsi" w:cstheme="majorHAnsi"/>
          <w:lang w:val="en-GB"/>
        </w:rPr>
        <w:t>’)</w:t>
      </w:r>
    </w:p>
    <w:p w14:paraId="4F946617" w14:textId="77777777" w:rsidR="00966F39" w:rsidRPr="00A15F4C" w:rsidRDefault="00966F39" w:rsidP="00966F39">
      <w:pPr>
        <w:pStyle w:val="ListParagraph"/>
        <w:rPr>
          <w:rFonts w:asciiTheme="minorHAnsi" w:eastAsia="Arial" w:hAnsiTheme="minorHAnsi" w:cstheme="majorHAnsi"/>
          <w:lang w:val="en-GB"/>
        </w:rPr>
      </w:pPr>
    </w:p>
    <w:p w14:paraId="0B1D692F"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Accurate and, where necessary, kept up to date; every reasonable step must be taken to ensure that personal data that are inaccurate, having regard to the purposes for which they are processed, are erased or rectified without delay (‘</w:t>
      </w:r>
      <w:r w:rsidRPr="00A15F4C">
        <w:rPr>
          <w:rFonts w:asciiTheme="minorHAnsi" w:hAnsiTheme="minorHAnsi" w:cstheme="majorHAnsi"/>
          <w:b/>
          <w:bCs/>
          <w:lang w:val="en-GB"/>
        </w:rPr>
        <w:t>accuracy</w:t>
      </w:r>
      <w:r w:rsidRPr="00A15F4C">
        <w:rPr>
          <w:rFonts w:asciiTheme="minorHAnsi" w:hAnsiTheme="minorHAnsi" w:cstheme="majorHAnsi"/>
          <w:lang w:val="en-GB"/>
        </w:rPr>
        <w:t>’)</w:t>
      </w:r>
    </w:p>
    <w:p w14:paraId="0258E7FA" w14:textId="77777777" w:rsidR="00966F39" w:rsidRPr="00A15F4C" w:rsidRDefault="00966F39" w:rsidP="00966F39">
      <w:pPr>
        <w:pStyle w:val="ListParagraph"/>
        <w:ind w:left="360"/>
        <w:rPr>
          <w:rFonts w:asciiTheme="minorHAnsi" w:eastAsia="Arial" w:hAnsiTheme="minorHAnsi" w:cstheme="majorHAnsi"/>
          <w:lang w:val="en-GB"/>
        </w:rPr>
      </w:pPr>
    </w:p>
    <w:p w14:paraId="27C80244"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Kept in a form which permits identification of data subjects for no longer than is necessary for the purposes for which personal data are processed (‘</w:t>
      </w:r>
      <w:r w:rsidRPr="00A15F4C">
        <w:rPr>
          <w:rFonts w:asciiTheme="minorHAnsi" w:hAnsiTheme="minorHAnsi" w:cstheme="majorHAnsi"/>
          <w:b/>
          <w:bCs/>
          <w:lang w:val="en-GB"/>
        </w:rPr>
        <w:t>storage limitation</w:t>
      </w:r>
      <w:r w:rsidRPr="00A15F4C">
        <w:rPr>
          <w:rFonts w:asciiTheme="minorHAnsi" w:hAnsiTheme="minorHAnsi" w:cstheme="majorHAnsi"/>
          <w:lang w:val="en-GB"/>
        </w:rPr>
        <w:t>’)</w:t>
      </w:r>
    </w:p>
    <w:p w14:paraId="3F0BB722" w14:textId="77777777" w:rsidR="00966F39" w:rsidRPr="00A15F4C" w:rsidRDefault="00966F39" w:rsidP="00966F39">
      <w:pPr>
        <w:pStyle w:val="ListParagraph"/>
        <w:rPr>
          <w:rFonts w:asciiTheme="minorHAnsi" w:eastAsia="Arial" w:hAnsiTheme="minorHAnsi" w:cstheme="majorHAnsi"/>
          <w:lang w:val="en-GB"/>
        </w:rPr>
      </w:pPr>
    </w:p>
    <w:p w14:paraId="3F7D6852" w14:textId="77777777" w:rsidR="00966F39" w:rsidRPr="00A15F4C" w:rsidRDefault="00966F39" w:rsidP="00966F39">
      <w:pPr>
        <w:pStyle w:val="ListParagraph"/>
        <w:numPr>
          <w:ilvl w:val="0"/>
          <w:numId w:val="4"/>
        </w:numPr>
        <w:rPr>
          <w:rFonts w:asciiTheme="minorHAnsi" w:eastAsia="Arial" w:hAnsiTheme="minorHAnsi" w:cstheme="majorHAnsi"/>
          <w:lang w:val="en-GB"/>
        </w:rPr>
      </w:pPr>
      <w:r w:rsidRPr="00A15F4C">
        <w:rPr>
          <w:rFonts w:asciiTheme="minorHAnsi" w:hAnsiTheme="minorHAnsi" w:cstheme="majorHAnsi"/>
          <w:lang w:val="en-GB"/>
        </w:rPr>
        <w:t>Processed in a manner that ensures appropriate security of personal data, including protection against unauthorised or unlawful processing and against accidental loss, destruction or damage using appropriate technical or organisational measures (‘</w:t>
      </w:r>
      <w:r w:rsidRPr="00A15F4C">
        <w:rPr>
          <w:rFonts w:asciiTheme="minorHAnsi" w:hAnsiTheme="minorHAnsi" w:cstheme="majorHAnsi"/>
          <w:b/>
          <w:bCs/>
          <w:lang w:val="en-GB"/>
        </w:rPr>
        <w:t>integrity and confidentiality</w:t>
      </w:r>
      <w:r w:rsidRPr="00A15F4C">
        <w:rPr>
          <w:rFonts w:asciiTheme="minorHAnsi" w:hAnsiTheme="minorHAnsi" w:cstheme="majorHAnsi"/>
          <w:lang w:val="en-GB"/>
        </w:rPr>
        <w:t>’)</w:t>
      </w:r>
    </w:p>
    <w:p w14:paraId="4917EAE1" w14:textId="77777777" w:rsidR="00966F39" w:rsidRPr="00A15F4C" w:rsidRDefault="00966F39" w:rsidP="00966F39">
      <w:pPr>
        <w:pStyle w:val="Body"/>
        <w:rPr>
          <w:rFonts w:asciiTheme="minorHAnsi" w:eastAsia="Arial" w:hAnsiTheme="minorHAnsi" w:cstheme="majorHAnsi"/>
          <w:lang w:val="en-GB"/>
        </w:rPr>
      </w:pPr>
    </w:p>
    <w:p w14:paraId="359A9274" w14:textId="20C1DE9A" w:rsidR="00966F39" w:rsidRPr="00A15F4C" w:rsidRDefault="000D042E" w:rsidP="00966F39">
      <w:pPr>
        <w:pStyle w:val="Body"/>
        <w:rPr>
          <w:rFonts w:asciiTheme="minorHAnsi" w:eastAsia="Arial" w:hAnsiTheme="minorHAnsi" w:cstheme="majorHAnsi"/>
          <w:lang w:val="en-GB"/>
        </w:rPr>
      </w:pPr>
      <w:r w:rsidRPr="00A15F4C">
        <w:rPr>
          <w:rFonts w:asciiTheme="minorHAnsi" w:hAnsiTheme="minorHAnsi" w:cstheme="majorHAnsi"/>
          <w:lang w:val="en-GB"/>
        </w:rPr>
        <w:t>Chambers</w:t>
      </w:r>
      <w:r w:rsidR="00966F39" w:rsidRPr="00A15F4C">
        <w:rPr>
          <w:rFonts w:asciiTheme="minorHAnsi" w:hAnsiTheme="minorHAnsi" w:cstheme="majorHAnsi"/>
          <w:lang w:val="en-GB"/>
        </w:rPr>
        <w:t xml:space="preserve"> must be able to demonstrate its compliance with (a) – (f) above (‘</w:t>
      </w:r>
      <w:r w:rsidR="00966F39" w:rsidRPr="00A15F4C">
        <w:rPr>
          <w:rFonts w:asciiTheme="minorHAnsi" w:hAnsiTheme="minorHAnsi" w:cstheme="majorHAnsi"/>
          <w:b/>
          <w:bCs/>
          <w:lang w:val="en-GB"/>
        </w:rPr>
        <w:t>accountability</w:t>
      </w:r>
      <w:r w:rsidR="00966F39" w:rsidRPr="00A15F4C">
        <w:rPr>
          <w:rFonts w:asciiTheme="minorHAnsi" w:hAnsiTheme="minorHAnsi" w:cstheme="majorHAnsi"/>
          <w:lang w:val="en-GB"/>
        </w:rPr>
        <w:t>’).</w:t>
      </w:r>
    </w:p>
    <w:p w14:paraId="11C82992" w14:textId="77777777" w:rsidR="00417659" w:rsidRPr="00A15F4C" w:rsidRDefault="00417659" w:rsidP="00966F39">
      <w:pPr>
        <w:pStyle w:val="Body"/>
        <w:rPr>
          <w:rFonts w:asciiTheme="minorHAnsi" w:hAnsiTheme="minorHAnsi" w:cstheme="majorHAnsi"/>
          <w:b/>
          <w:bCs/>
          <w:u w:color="70AD47"/>
          <w:lang w:val="en-GB"/>
        </w:rPr>
      </w:pPr>
    </w:p>
    <w:p w14:paraId="05F14862"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Processing personal data and sensitive personal data </w:t>
      </w:r>
    </w:p>
    <w:p w14:paraId="14727BB8" w14:textId="77777777" w:rsidR="00966F39" w:rsidRPr="00A15F4C" w:rsidRDefault="00966F39" w:rsidP="00966F39">
      <w:pPr>
        <w:pStyle w:val="Body"/>
        <w:rPr>
          <w:rFonts w:asciiTheme="minorHAnsi" w:eastAsia="Arial" w:hAnsiTheme="minorHAnsi" w:cstheme="majorHAnsi"/>
          <w:b/>
          <w:bCs/>
          <w:u w:color="70AD47"/>
          <w:lang w:val="en-GB"/>
        </w:rPr>
      </w:pPr>
    </w:p>
    <w:p w14:paraId="07010A74"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You must process all personal data in a manner that is compliant with the GDPR, in short, this means you must:</w:t>
      </w:r>
    </w:p>
    <w:p w14:paraId="4DFAB7FE" w14:textId="77777777" w:rsidR="00966F39" w:rsidRPr="00A15F4C" w:rsidRDefault="00966F39" w:rsidP="00417659">
      <w:pPr>
        <w:pStyle w:val="ListParagraph"/>
        <w:numPr>
          <w:ilvl w:val="0"/>
          <w:numId w:val="12"/>
        </w:numPr>
        <w:rPr>
          <w:rFonts w:asciiTheme="minorHAnsi" w:eastAsia="Arial" w:hAnsiTheme="minorHAnsi" w:cstheme="majorHAnsi"/>
        </w:rPr>
      </w:pPr>
      <w:r w:rsidRPr="00A15F4C">
        <w:rPr>
          <w:rFonts w:asciiTheme="minorHAnsi" w:hAnsiTheme="minorHAnsi" w:cstheme="majorHAnsi"/>
        </w:rPr>
        <w:t>have legitimate grounds for collecting and using the personal data;</w:t>
      </w:r>
    </w:p>
    <w:p w14:paraId="2671596D" w14:textId="77777777" w:rsidR="00966F39" w:rsidRPr="00A15F4C" w:rsidRDefault="00966F39" w:rsidP="00417659">
      <w:pPr>
        <w:pStyle w:val="ListParagraph"/>
        <w:numPr>
          <w:ilvl w:val="0"/>
          <w:numId w:val="12"/>
        </w:numPr>
        <w:rPr>
          <w:rFonts w:asciiTheme="minorHAnsi" w:eastAsia="Arial" w:hAnsiTheme="minorHAnsi" w:cstheme="majorHAnsi"/>
        </w:rPr>
      </w:pPr>
      <w:r w:rsidRPr="00A15F4C">
        <w:rPr>
          <w:rFonts w:asciiTheme="minorHAnsi" w:hAnsiTheme="minorHAnsi" w:cstheme="majorHAnsi"/>
        </w:rPr>
        <w:t>not use the data in ways that have unjustified adverse effects on the individuals concerned;</w:t>
      </w:r>
    </w:p>
    <w:p w14:paraId="65806F61" w14:textId="77777777" w:rsidR="00966F39" w:rsidRPr="00A15F4C" w:rsidRDefault="00966F39" w:rsidP="00417659">
      <w:pPr>
        <w:pStyle w:val="ListParagraph"/>
        <w:numPr>
          <w:ilvl w:val="0"/>
          <w:numId w:val="12"/>
        </w:numPr>
        <w:rPr>
          <w:rFonts w:asciiTheme="minorHAnsi" w:eastAsia="Arial" w:hAnsiTheme="minorHAnsi" w:cstheme="majorHAnsi"/>
        </w:rPr>
      </w:pPr>
      <w:r w:rsidRPr="00A15F4C">
        <w:rPr>
          <w:rFonts w:asciiTheme="minorHAnsi" w:hAnsiTheme="minorHAnsi" w:cstheme="majorHAnsi"/>
        </w:rPr>
        <w:t>be transparent about how you intend to use the data, and give individuals appropriate privacy notices when collecting their personal data;</w:t>
      </w:r>
    </w:p>
    <w:p w14:paraId="0B3DD2B4" w14:textId="77777777" w:rsidR="00966F39" w:rsidRPr="00A15F4C" w:rsidRDefault="00966F39" w:rsidP="00417659">
      <w:pPr>
        <w:pStyle w:val="ListParagraph"/>
        <w:numPr>
          <w:ilvl w:val="0"/>
          <w:numId w:val="12"/>
        </w:numPr>
        <w:rPr>
          <w:rFonts w:asciiTheme="minorHAnsi" w:eastAsia="Arial" w:hAnsiTheme="minorHAnsi" w:cstheme="majorHAnsi"/>
        </w:rPr>
      </w:pPr>
      <w:r w:rsidRPr="00A15F4C">
        <w:rPr>
          <w:rFonts w:asciiTheme="minorHAnsi" w:hAnsiTheme="minorHAnsi" w:cstheme="majorHAnsi"/>
        </w:rPr>
        <w:t>handle people’s personal data only in ways they would reasonably expect; and</w:t>
      </w:r>
    </w:p>
    <w:p w14:paraId="5DC8FD89" w14:textId="77777777" w:rsidR="00966F39" w:rsidRPr="00A15F4C" w:rsidRDefault="00966F39" w:rsidP="00417659">
      <w:pPr>
        <w:pStyle w:val="ListParagraph"/>
        <w:numPr>
          <w:ilvl w:val="0"/>
          <w:numId w:val="12"/>
        </w:numPr>
        <w:rPr>
          <w:rFonts w:asciiTheme="minorHAnsi" w:eastAsia="Arial" w:hAnsiTheme="minorHAnsi" w:cstheme="majorHAnsi"/>
        </w:rPr>
      </w:pPr>
      <w:proofErr w:type="gramStart"/>
      <w:r w:rsidRPr="00A15F4C">
        <w:rPr>
          <w:rFonts w:asciiTheme="minorHAnsi" w:hAnsiTheme="minorHAnsi" w:cstheme="majorHAnsi"/>
        </w:rPr>
        <w:t>make</w:t>
      </w:r>
      <w:proofErr w:type="gramEnd"/>
      <w:r w:rsidRPr="00A15F4C">
        <w:rPr>
          <w:rFonts w:asciiTheme="minorHAnsi" w:hAnsiTheme="minorHAnsi" w:cstheme="majorHAnsi"/>
        </w:rPr>
        <w:t xml:space="preserve"> sure you do not do anything unlawful with the data.</w:t>
      </w:r>
    </w:p>
    <w:p w14:paraId="02B348D0" w14:textId="77777777" w:rsidR="00966F39" w:rsidRPr="00A15F4C" w:rsidRDefault="00966F39" w:rsidP="00966F39">
      <w:pPr>
        <w:pStyle w:val="Body"/>
        <w:rPr>
          <w:rFonts w:asciiTheme="minorHAnsi" w:eastAsia="Arial" w:hAnsiTheme="minorHAnsi" w:cstheme="majorHAnsi"/>
          <w:b/>
          <w:bCs/>
          <w:u w:color="70AD47"/>
          <w:lang w:val="en-GB"/>
        </w:rPr>
      </w:pPr>
    </w:p>
    <w:p w14:paraId="32FD1773"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You must ensure that you are aware of the difference between personal data and special categories of personal data and ensure that both types of data are processed in accordance with the GDPR. </w:t>
      </w:r>
    </w:p>
    <w:p w14:paraId="32795FFC" w14:textId="77777777" w:rsidR="00966F39" w:rsidRPr="00A15F4C" w:rsidRDefault="00966F39" w:rsidP="00966F39">
      <w:pPr>
        <w:pStyle w:val="Body"/>
        <w:rPr>
          <w:rFonts w:asciiTheme="minorHAnsi" w:eastAsia="Arial" w:hAnsiTheme="minorHAnsi" w:cstheme="majorHAnsi"/>
          <w:lang w:val="en-GB"/>
        </w:rPr>
      </w:pPr>
    </w:p>
    <w:p w14:paraId="756422C8"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The conditions for processing special categories of personal data that are most relevant to our </w:t>
      </w:r>
      <w:r w:rsidR="00A555ED" w:rsidRPr="00A15F4C">
        <w:rPr>
          <w:rFonts w:asciiTheme="minorHAnsi" w:hAnsiTheme="minorHAnsi" w:cstheme="majorHAnsi"/>
          <w:lang w:val="en-GB"/>
        </w:rPr>
        <w:t>Chambers</w:t>
      </w:r>
      <w:r w:rsidRPr="00A15F4C">
        <w:rPr>
          <w:rFonts w:asciiTheme="minorHAnsi" w:hAnsiTheme="minorHAnsi" w:cstheme="majorHAnsi"/>
          <w:lang w:val="en-GB"/>
        </w:rPr>
        <w:t xml:space="preserve"> are:</w:t>
      </w:r>
    </w:p>
    <w:p w14:paraId="1D974380" w14:textId="77777777" w:rsidR="00966F39" w:rsidRPr="00A15F4C" w:rsidRDefault="00966F39"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Explicit consent from the data subject;</w:t>
      </w:r>
    </w:p>
    <w:p w14:paraId="4F054E41" w14:textId="77777777" w:rsidR="00A555ED" w:rsidRPr="00A15F4C" w:rsidRDefault="00A555ED"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The processing is at the instruction of a Barrister who is the Data Controller of that personal data;</w:t>
      </w:r>
    </w:p>
    <w:p w14:paraId="1997FBC4" w14:textId="6BBF3F62" w:rsidR="00966F39" w:rsidRPr="00A15F4C" w:rsidRDefault="00966F39"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 xml:space="preserve">The processing is necessary for the purposes of carrying out </w:t>
      </w:r>
      <w:r w:rsidR="000D042E" w:rsidRPr="00A15F4C">
        <w:rPr>
          <w:rFonts w:asciiTheme="minorHAnsi" w:hAnsiTheme="minorHAnsi" w:cstheme="majorHAnsi"/>
          <w:lang w:val="en-GB"/>
        </w:rPr>
        <w:t>Chambers</w:t>
      </w:r>
      <w:r w:rsidR="004A319D" w:rsidRPr="00A15F4C">
        <w:rPr>
          <w:rFonts w:asciiTheme="minorHAnsi" w:hAnsiTheme="minorHAnsi" w:cstheme="majorHAnsi"/>
          <w:lang w:val="en-GB"/>
        </w:rPr>
        <w:t>’</w:t>
      </w:r>
      <w:r w:rsidRPr="00A15F4C">
        <w:rPr>
          <w:rFonts w:asciiTheme="minorHAnsi" w:hAnsiTheme="minorHAnsi" w:cstheme="majorHAnsi"/>
          <w:lang w:val="en-GB"/>
        </w:rPr>
        <w:t xml:space="preserve"> obligations in respect of employment and social security and social protection law;</w:t>
      </w:r>
    </w:p>
    <w:p w14:paraId="76A2541C" w14:textId="77777777" w:rsidR="00966F39" w:rsidRPr="00A15F4C" w:rsidRDefault="00966F39"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The processing is necessary to protect the vital interests of the data subject or another person;</w:t>
      </w:r>
    </w:p>
    <w:p w14:paraId="4C81A211" w14:textId="77777777" w:rsidR="00966F39" w:rsidRPr="00A15F4C" w:rsidRDefault="00966F39"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The processing relates to personal data that has already been made public by the data subject; or</w:t>
      </w:r>
    </w:p>
    <w:p w14:paraId="24335599" w14:textId="77777777" w:rsidR="00966F39" w:rsidRPr="00A15F4C" w:rsidRDefault="00966F39" w:rsidP="00417659">
      <w:pPr>
        <w:pStyle w:val="ListParagraph"/>
        <w:numPr>
          <w:ilvl w:val="0"/>
          <w:numId w:val="13"/>
        </w:numPr>
        <w:rPr>
          <w:rFonts w:asciiTheme="minorHAnsi" w:eastAsia="Arial" w:hAnsiTheme="minorHAnsi" w:cstheme="majorHAnsi"/>
          <w:lang w:val="en-GB"/>
        </w:rPr>
      </w:pPr>
      <w:r w:rsidRPr="00A15F4C">
        <w:rPr>
          <w:rFonts w:asciiTheme="minorHAnsi" w:hAnsiTheme="minorHAnsi" w:cstheme="majorHAnsi"/>
          <w:lang w:val="en-GB"/>
        </w:rPr>
        <w:t>The processing is necessary for the establishment, exercise or defence of legal claims or whenever courts are acting in their judicial capacity.</w:t>
      </w:r>
    </w:p>
    <w:p w14:paraId="3E56D613" w14:textId="77777777" w:rsidR="00966F39" w:rsidRPr="00A15F4C" w:rsidRDefault="00966F39" w:rsidP="00966F39">
      <w:pPr>
        <w:pStyle w:val="Body"/>
        <w:rPr>
          <w:rFonts w:asciiTheme="minorHAnsi" w:eastAsia="Arial" w:hAnsiTheme="minorHAnsi" w:cstheme="majorHAnsi"/>
          <w:b/>
          <w:bCs/>
          <w:u w:color="70AD47"/>
          <w:lang w:val="en-GB"/>
        </w:rPr>
      </w:pPr>
    </w:p>
    <w:p w14:paraId="245F783C"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Rights of the data subject </w:t>
      </w:r>
    </w:p>
    <w:p w14:paraId="7D946DC2" w14:textId="77777777" w:rsidR="00966F39" w:rsidRPr="00A15F4C" w:rsidRDefault="00966F39" w:rsidP="00966F39">
      <w:pPr>
        <w:pStyle w:val="Body"/>
        <w:rPr>
          <w:rFonts w:asciiTheme="minorHAnsi" w:eastAsia="Arial" w:hAnsiTheme="minorHAnsi" w:cstheme="majorHAnsi"/>
          <w:b/>
          <w:bCs/>
          <w:u w:color="70AD47"/>
          <w:lang w:val="en-GB"/>
        </w:rPr>
      </w:pPr>
    </w:p>
    <w:p w14:paraId="4243B51F" w14:textId="3732A5ED"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The GDPR gives rights to individuals in respect of the personal data that </w:t>
      </w:r>
      <w:r w:rsidR="00A555ED" w:rsidRPr="00A15F4C">
        <w:rPr>
          <w:rFonts w:asciiTheme="minorHAnsi" w:hAnsiTheme="minorHAnsi" w:cstheme="majorHAnsi"/>
          <w:lang w:val="en-GB"/>
        </w:rPr>
        <w:t>any organisations</w:t>
      </w:r>
      <w:r w:rsidRPr="00A15F4C">
        <w:rPr>
          <w:rFonts w:asciiTheme="minorHAnsi" w:hAnsiTheme="minorHAnsi" w:cstheme="majorHAnsi"/>
          <w:lang w:val="en-GB"/>
        </w:rPr>
        <w:t xml:space="preserve"> hold about them. Everybody working for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must be familiar with these rights and adhere to </w:t>
      </w:r>
      <w:r w:rsidR="000D042E" w:rsidRPr="00A15F4C">
        <w:rPr>
          <w:rFonts w:asciiTheme="minorHAnsi" w:hAnsiTheme="minorHAnsi" w:cstheme="majorHAnsi"/>
          <w:lang w:val="en-GB"/>
        </w:rPr>
        <w:t>Chambers</w:t>
      </w:r>
      <w:r w:rsidR="004A319D" w:rsidRPr="00A15F4C">
        <w:rPr>
          <w:rFonts w:asciiTheme="minorHAnsi" w:hAnsiTheme="minorHAnsi" w:cstheme="majorHAnsi"/>
          <w:lang w:val="en-GB"/>
        </w:rPr>
        <w:t>’</w:t>
      </w:r>
      <w:r w:rsidRPr="00A15F4C">
        <w:rPr>
          <w:rFonts w:asciiTheme="minorHAnsi" w:hAnsiTheme="minorHAnsi" w:cstheme="majorHAnsi"/>
          <w:lang w:val="en-GB"/>
        </w:rPr>
        <w:t xml:space="preserve"> procedures to uphold these rights.</w:t>
      </w:r>
    </w:p>
    <w:p w14:paraId="3A8833AA" w14:textId="77777777" w:rsidR="00966F39" w:rsidRPr="00A15F4C" w:rsidRDefault="00966F39" w:rsidP="00966F39">
      <w:pPr>
        <w:pStyle w:val="Body"/>
        <w:rPr>
          <w:rFonts w:asciiTheme="minorHAnsi" w:eastAsia="Arial" w:hAnsiTheme="minorHAnsi" w:cstheme="majorHAnsi"/>
          <w:lang w:val="en-GB"/>
        </w:rPr>
      </w:pPr>
    </w:p>
    <w:p w14:paraId="1632CC97"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These rights include:</w:t>
      </w:r>
    </w:p>
    <w:p w14:paraId="35DF6970"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Right of information and access to confirm details about the personal data that is being processed about them and to obtain a copy;</w:t>
      </w:r>
    </w:p>
    <w:p w14:paraId="56DCCA73"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Right to rectification of any inaccurate personal data;</w:t>
      </w:r>
    </w:p>
    <w:p w14:paraId="6F4F72AB"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 xml:space="preserve">Right to erasure of personal data held about them (in certain circumstances); </w:t>
      </w:r>
    </w:p>
    <w:p w14:paraId="55EF029B"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Right to restriction on the use of personal data held about them (in certain circumstances);</w:t>
      </w:r>
    </w:p>
    <w:p w14:paraId="4D43D125"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Right to portability – right to receive data processed by automated means and have it transferred to another data controller;</w:t>
      </w:r>
    </w:p>
    <w:p w14:paraId="3DBB544E" w14:textId="77777777" w:rsidR="00966F39" w:rsidRPr="00A15F4C" w:rsidRDefault="00966F39" w:rsidP="00417659">
      <w:pPr>
        <w:pStyle w:val="ListParagraph"/>
        <w:numPr>
          <w:ilvl w:val="0"/>
          <w:numId w:val="15"/>
        </w:numPr>
        <w:rPr>
          <w:rFonts w:asciiTheme="minorHAnsi" w:eastAsia="Arial" w:hAnsiTheme="minorHAnsi"/>
        </w:rPr>
      </w:pPr>
      <w:r w:rsidRPr="00A15F4C">
        <w:rPr>
          <w:rFonts w:asciiTheme="minorHAnsi" w:hAnsiTheme="minorHAnsi"/>
        </w:rPr>
        <w:t>Right to object to the processing of their personal data.</w:t>
      </w:r>
    </w:p>
    <w:p w14:paraId="569E0256" w14:textId="77777777" w:rsidR="00966F39" w:rsidRPr="00A15F4C" w:rsidRDefault="00966F39" w:rsidP="00966F39">
      <w:pPr>
        <w:pStyle w:val="Body"/>
        <w:rPr>
          <w:rFonts w:asciiTheme="minorHAnsi" w:eastAsia="Arial" w:hAnsiTheme="minorHAnsi" w:cstheme="majorHAnsi"/>
          <w:lang w:val="en-GB"/>
        </w:rPr>
      </w:pPr>
    </w:p>
    <w:p w14:paraId="06CC7A75" w14:textId="6FB49863"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If anybody receives a request from a data subject (a client or other third party </w:t>
      </w:r>
      <w:r w:rsidR="00FF5973" w:rsidRPr="00A15F4C">
        <w:rPr>
          <w:rFonts w:asciiTheme="minorHAnsi" w:hAnsiTheme="minorHAnsi" w:cstheme="majorHAnsi"/>
          <w:lang w:val="en-GB"/>
        </w:rPr>
        <w:t xml:space="preserve">concerning whom </w:t>
      </w:r>
      <w:r w:rsidRPr="00A15F4C">
        <w:rPr>
          <w:rFonts w:asciiTheme="minorHAnsi" w:hAnsiTheme="minorHAnsi" w:cstheme="majorHAnsi"/>
          <w:lang w:val="en-GB"/>
        </w:rPr>
        <w:t>we hold personal data) to exercise any of these rights,</w:t>
      </w:r>
      <w:r w:rsidR="00417659" w:rsidRPr="00A15F4C">
        <w:rPr>
          <w:rFonts w:asciiTheme="minorHAnsi" w:hAnsiTheme="minorHAnsi" w:cstheme="majorHAnsi"/>
          <w:lang w:val="en-GB"/>
        </w:rPr>
        <w:t xml:space="preserve"> the request must be re</w:t>
      </w:r>
      <w:r w:rsidR="006A507F" w:rsidRPr="00A15F4C">
        <w:rPr>
          <w:rFonts w:asciiTheme="minorHAnsi" w:hAnsiTheme="minorHAnsi" w:cstheme="majorHAnsi"/>
          <w:lang w:val="en-GB"/>
        </w:rPr>
        <w:t xml:space="preserve">ferred to the </w:t>
      </w:r>
      <w:r w:rsidR="00417659" w:rsidRPr="00A15F4C">
        <w:rPr>
          <w:rFonts w:asciiTheme="minorHAnsi" w:hAnsiTheme="minorHAnsi" w:cstheme="majorHAnsi"/>
          <w:lang w:val="en-GB"/>
        </w:rPr>
        <w:t xml:space="preserve">Data Protection Manager </w:t>
      </w:r>
      <w:r w:rsidR="006A507F" w:rsidRPr="00A15F4C">
        <w:rPr>
          <w:rFonts w:asciiTheme="minorHAnsi" w:hAnsiTheme="minorHAnsi" w:cstheme="majorHAnsi"/>
          <w:lang w:val="en-GB"/>
        </w:rPr>
        <w:t xml:space="preserve">immediately or to the </w:t>
      </w:r>
      <w:r w:rsidR="00417659" w:rsidRPr="00A15F4C">
        <w:rPr>
          <w:rFonts w:asciiTheme="minorHAnsi" w:hAnsiTheme="minorHAnsi" w:cstheme="majorHAnsi"/>
          <w:lang w:val="en-GB"/>
        </w:rPr>
        <w:t xml:space="preserve">Practice Director </w:t>
      </w:r>
      <w:r w:rsidRPr="00A15F4C">
        <w:rPr>
          <w:rFonts w:asciiTheme="minorHAnsi" w:hAnsiTheme="minorHAnsi" w:cstheme="majorHAnsi"/>
          <w:lang w:val="en-GB"/>
        </w:rPr>
        <w:t xml:space="preserve">in </w:t>
      </w:r>
      <w:r w:rsidR="006A507F" w:rsidRPr="00A15F4C">
        <w:rPr>
          <w:rFonts w:asciiTheme="minorHAnsi" w:hAnsiTheme="minorHAnsi" w:cstheme="majorHAnsi"/>
          <w:lang w:val="en-GB"/>
        </w:rPr>
        <w:t>his/</w:t>
      </w:r>
      <w:r w:rsidR="00417659" w:rsidRPr="00A15F4C">
        <w:rPr>
          <w:rFonts w:asciiTheme="minorHAnsi" w:hAnsiTheme="minorHAnsi" w:cstheme="majorHAnsi"/>
          <w:lang w:val="en-GB"/>
        </w:rPr>
        <w:t xml:space="preserve">her </w:t>
      </w:r>
      <w:r w:rsidRPr="00A15F4C">
        <w:rPr>
          <w:rFonts w:asciiTheme="minorHAnsi" w:hAnsiTheme="minorHAnsi" w:cstheme="majorHAnsi"/>
          <w:lang w:val="en-GB"/>
        </w:rPr>
        <w:t xml:space="preserve">absence. </w:t>
      </w:r>
    </w:p>
    <w:p w14:paraId="6D828C7B" w14:textId="77777777" w:rsidR="00966F39" w:rsidRPr="00A15F4C" w:rsidRDefault="00966F39" w:rsidP="00966F39">
      <w:pPr>
        <w:pStyle w:val="Body"/>
        <w:rPr>
          <w:rFonts w:asciiTheme="minorHAnsi" w:eastAsia="Arial" w:hAnsiTheme="minorHAnsi" w:cstheme="majorHAnsi"/>
          <w:lang w:val="en-GB"/>
        </w:rPr>
      </w:pPr>
    </w:p>
    <w:p w14:paraId="44542A71" w14:textId="77777777" w:rsidR="00966F39" w:rsidRPr="00A15F4C" w:rsidRDefault="00966F39" w:rsidP="00966F39">
      <w:pPr>
        <w:pStyle w:val="Body"/>
        <w:rPr>
          <w:rFonts w:asciiTheme="minorHAnsi" w:eastAsia="Arial" w:hAnsiTheme="minorHAnsi" w:cstheme="majorHAnsi"/>
          <w:b/>
          <w:bCs/>
          <w:lang w:val="en-GB"/>
        </w:rPr>
      </w:pPr>
      <w:r w:rsidRPr="00A15F4C">
        <w:rPr>
          <w:rFonts w:asciiTheme="minorHAnsi" w:hAnsiTheme="minorHAnsi" w:cstheme="majorHAnsi"/>
          <w:b/>
          <w:bCs/>
          <w:lang w:val="en-GB"/>
        </w:rPr>
        <w:t xml:space="preserve">Note: we only have one month to respond to a request to access a copy of personal data. </w:t>
      </w:r>
    </w:p>
    <w:p w14:paraId="6BED1048" w14:textId="77777777" w:rsidR="00966F39" w:rsidRPr="00A15F4C" w:rsidRDefault="00966F39" w:rsidP="00966F39">
      <w:pPr>
        <w:pStyle w:val="Body"/>
        <w:rPr>
          <w:rFonts w:asciiTheme="minorHAnsi" w:eastAsia="Arial" w:hAnsiTheme="minorHAnsi" w:cstheme="majorHAnsi"/>
          <w:lang w:val="en-GB"/>
        </w:rPr>
      </w:pPr>
    </w:p>
    <w:p w14:paraId="00969531"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Confidentiality and data sharing </w:t>
      </w:r>
    </w:p>
    <w:p w14:paraId="2BE6362B" w14:textId="77777777" w:rsidR="00966F39" w:rsidRPr="00A15F4C" w:rsidRDefault="00966F39" w:rsidP="00966F39">
      <w:pPr>
        <w:pStyle w:val="Body"/>
        <w:rPr>
          <w:rFonts w:asciiTheme="minorHAnsi" w:eastAsia="Arial" w:hAnsiTheme="minorHAnsi" w:cstheme="majorHAnsi"/>
          <w:lang w:val="en-GB"/>
        </w:rPr>
      </w:pPr>
    </w:p>
    <w:p w14:paraId="39B8E065" w14:textId="5C8FE43C"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The</w:t>
      </w:r>
      <w:r w:rsidR="00CD3E53" w:rsidRPr="00A15F4C">
        <w:rPr>
          <w:rFonts w:asciiTheme="minorHAnsi" w:hAnsiTheme="minorHAnsi" w:cstheme="majorHAnsi"/>
          <w:lang w:val="en-GB"/>
        </w:rPr>
        <w:t xml:space="preserve"> barristers and</w:t>
      </w:r>
      <w:r w:rsidRPr="00A15F4C">
        <w:rPr>
          <w:rFonts w:asciiTheme="minorHAnsi" w:hAnsiTheme="minorHAnsi" w:cstheme="majorHAnsi"/>
          <w:lang w:val="en-GB"/>
        </w:rPr>
        <w:t xml:space="preserve"> </w:t>
      </w:r>
      <w:r w:rsidR="004A319D" w:rsidRPr="00A15F4C">
        <w:rPr>
          <w:rFonts w:asciiTheme="minorHAnsi" w:hAnsiTheme="minorHAnsi" w:cstheme="majorHAnsi"/>
          <w:lang w:val="en-GB"/>
        </w:rPr>
        <w:t>Chambers</w:t>
      </w:r>
      <w:r w:rsidRPr="00A15F4C">
        <w:rPr>
          <w:rFonts w:asciiTheme="minorHAnsi" w:hAnsiTheme="minorHAnsi" w:cstheme="majorHAnsi"/>
          <w:lang w:val="en-GB"/>
        </w:rPr>
        <w:t xml:space="preserve"> must ensure that </w:t>
      </w:r>
      <w:r w:rsidR="00CD3E53" w:rsidRPr="00A15F4C">
        <w:rPr>
          <w:rFonts w:asciiTheme="minorHAnsi" w:hAnsiTheme="minorHAnsi" w:cstheme="majorHAnsi"/>
          <w:lang w:val="en-GB"/>
        </w:rPr>
        <w:t>they</w:t>
      </w:r>
      <w:r w:rsidRPr="00A15F4C">
        <w:rPr>
          <w:rFonts w:asciiTheme="minorHAnsi" w:hAnsiTheme="minorHAnsi" w:cstheme="majorHAnsi"/>
          <w:lang w:val="en-GB"/>
        </w:rPr>
        <w:t xml:space="preserve"> only shares personal information with other individu</w:t>
      </w:r>
      <w:r w:rsidR="00CD3E53" w:rsidRPr="00A15F4C">
        <w:rPr>
          <w:rFonts w:asciiTheme="minorHAnsi" w:hAnsiTheme="minorHAnsi" w:cstheme="majorHAnsi"/>
          <w:lang w:val="en-GB"/>
        </w:rPr>
        <w:t xml:space="preserve">als or organisations </w:t>
      </w:r>
      <w:r w:rsidR="00FF5973" w:rsidRPr="00A15F4C">
        <w:rPr>
          <w:rFonts w:asciiTheme="minorHAnsi" w:hAnsiTheme="minorHAnsi" w:cstheme="majorHAnsi"/>
          <w:lang w:val="en-GB"/>
        </w:rPr>
        <w:t xml:space="preserve">only </w:t>
      </w:r>
      <w:r w:rsidR="00CD3E53" w:rsidRPr="00A15F4C">
        <w:rPr>
          <w:rFonts w:asciiTheme="minorHAnsi" w:hAnsiTheme="minorHAnsi" w:cstheme="majorHAnsi"/>
          <w:lang w:val="en-GB"/>
        </w:rPr>
        <w:t>where they are</w:t>
      </w:r>
      <w:r w:rsidRPr="00A15F4C">
        <w:rPr>
          <w:rFonts w:asciiTheme="minorHAnsi" w:hAnsiTheme="minorHAnsi" w:cstheme="majorHAnsi"/>
          <w:lang w:val="en-GB"/>
        </w:rPr>
        <w:t xml:space="preserve"> permitted to do so in accordance with data protection law. </w:t>
      </w:r>
    </w:p>
    <w:p w14:paraId="048560B1" w14:textId="77777777" w:rsidR="00966F39" w:rsidRPr="00A15F4C" w:rsidRDefault="00966F39" w:rsidP="00966F39">
      <w:pPr>
        <w:pStyle w:val="Body"/>
        <w:rPr>
          <w:rFonts w:asciiTheme="minorHAnsi" w:eastAsia="Arial" w:hAnsiTheme="minorHAnsi" w:cstheme="majorHAnsi"/>
          <w:lang w:val="en-GB"/>
        </w:rPr>
      </w:pPr>
    </w:p>
    <w:p w14:paraId="0BDB27F1" w14:textId="628D66BB"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Wherever, possible you should ensure that you have the client’s (or other data subject’s) consent before sharing their personal data</w:t>
      </w:r>
      <w:r w:rsidR="00FF5973" w:rsidRPr="00A15F4C">
        <w:rPr>
          <w:rFonts w:asciiTheme="minorHAnsi" w:hAnsiTheme="minorHAnsi" w:cstheme="majorHAnsi"/>
          <w:lang w:val="en-GB"/>
        </w:rPr>
        <w:t>,</w:t>
      </w:r>
      <w:r w:rsidRPr="00A15F4C">
        <w:rPr>
          <w:rFonts w:asciiTheme="minorHAnsi" w:hAnsiTheme="minorHAnsi" w:cstheme="majorHAnsi"/>
          <w:lang w:val="en-GB"/>
        </w:rPr>
        <w:t xml:space="preserve"> </w:t>
      </w:r>
      <w:r w:rsidR="00FF5973" w:rsidRPr="00A15F4C">
        <w:rPr>
          <w:rFonts w:asciiTheme="minorHAnsi" w:hAnsiTheme="minorHAnsi" w:cstheme="majorHAnsi"/>
          <w:lang w:val="en-GB"/>
        </w:rPr>
        <w:t>a</w:t>
      </w:r>
      <w:r w:rsidRPr="00A15F4C">
        <w:rPr>
          <w:rFonts w:asciiTheme="minorHAnsi" w:hAnsiTheme="minorHAnsi" w:cstheme="majorHAnsi"/>
          <w:lang w:val="en-GB"/>
        </w:rPr>
        <w:t xml:space="preserve">lthough, it is accepted that this will not be possible in all circumstances, for example if the disclosure is required by law. </w:t>
      </w:r>
    </w:p>
    <w:p w14:paraId="3FF46AF6" w14:textId="77777777" w:rsidR="00966F39" w:rsidRPr="00A15F4C" w:rsidRDefault="00966F39" w:rsidP="00966F39">
      <w:pPr>
        <w:pStyle w:val="Body"/>
        <w:rPr>
          <w:rFonts w:asciiTheme="minorHAnsi" w:eastAsia="Arial" w:hAnsiTheme="minorHAnsi" w:cstheme="majorHAnsi"/>
          <w:lang w:val="en-GB"/>
        </w:rPr>
      </w:pPr>
    </w:p>
    <w:p w14:paraId="1EB82BB9"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Data Protection Impact Assessments (DPIAs)</w:t>
      </w:r>
    </w:p>
    <w:p w14:paraId="1A720F35" w14:textId="77777777" w:rsidR="00966F39" w:rsidRPr="00A15F4C" w:rsidRDefault="00966F39" w:rsidP="00966F39">
      <w:pPr>
        <w:pStyle w:val="Body"/>
        <w:rPr>
          <w:rFonts w:asciiTheme="minorHAnsi" w:eastAsia="Arial" w:hAnsiTheme="minorHAnsi" w:cstheme="majorHAnsi"/>
          <w:b/>
          <w:bCs/>
          <w:u w:color="70AD47"/>
          <w:lang w:val="en-GB"/>
        </w:rPr>
      </w:pPr>
    </w:p>
    <w:p w14:paraId="259AE9F2" w14:textId="430DB318" w:rsidR="00CD3E53" w:rsidRPr="00A15F4C" w:rsidRDefault="00966F39" w:rsidP="00966F39">
      <w:pPr>
        <w:pStyle w:val="Body"/>
        <w:rPr>
          <w:rFonts w:asciiTheme="minorHAnsi" w:hAnsiTheme="minorHAnsi" w:cstheme="majorHAnsi"/>
          <w:lang w:val="en-GB"/>
        </w:rPr>
      </w:pPr>
      <w:r w:rsidRPr="00A15F4C">
        <w:rPr>
          <w:rFonts w:asciiTheme="minorHAnsi" w:hAnsiTheme="minorHAnsi" w:cstheme="majorHAnsi"/>
          <w:lang w:val="en-GB"/>
        </w:rPr>
        <w:t xml:space="preserve">DPIAs are required to identify data protection risks; assess the impact of these risks; and determine appropriate action to prevent or mitigate the impact of these risks, when introducing, or making significant changes to, systems or projects involving the processing of personal data. </w:t>
      </w:r>
    </w:p>
    <w:p w14:paraId="2D7E5D24" w14:textId="77777777" w:rsidR="00966F39" w:rsidRPr="00A15F4C" w:rsidRDefault="00966F39" w:rsidP="00966F39">
      <w:pPr>
        <w:pStyle w:val="Body"/>
        <w:rPr>
          <w:rFonts w:asciiTheme="minorHAnsi" w:eastAsia="Arial" w:hAnsiTheme="minorHAnsi" w:cstheme="majorHAnsi"/>
          <w:lang w:val="en-GB"/>
        </w:rPr>
      </w:pPr>
    </w:p>
    <w:p w14:paraId="63C7E78C" w14:textId="695B85DB"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In simpler terms, this </w:t>
      </w:r>
      <w:r w:rsidR="00A555ED" w:rsidRPr="00A15F4C">
        <w:rPr>
          <w:rFonts w:asciiTheme="minorHAnsi" w:hAnsiTheme="minorHAnsi" w:cstheme="majorHAnsi"/>
          <w:lang w:val="en-GB"/>
        </w:rPr>
        <w:t xml:space="preserve">means thinking about whether </w:t>
      </w:r>
      <w:r w:rsidR="000D042E" w:rsidRPr="00A15F4C">
        <w:rPr>
          <w:rFonts w:asciiTheme="minorHAnsi" w:hAnsiTheme="minorHAnsi" w:cstheme="majorHAnsi"/>
          <w:lang w:val="en-GB"/>
        </w:rPr>
        <w:t>Chambers</w:t>
      </w:r>
      <w:r w:rsidR="00A555ED" w:rsidRPr="00A15F4C">
        <w:rPr>
          <w:rFonts w:asciiTheme="minorHAnsi" w:hAnsiTheme="minorHAnsi" w:cstheme="majorHAnsi"/>
          <w:lang w:val="en-GB"/>
        </w:rPr>
        <w:t xml:space="preserve"> </w:t>
      </w:r>
      <w:r w:rsidRPr="00A15F4C">
        <w:rPr>
          <w:rFonts w:asciiTheme="minorHAnsi" w:hAnsiTheme="minorHAnsi" w:cstheme="majorHAnsi"/>
          <w:lang w:val="en-GB"/>
        </w:rPr>
        <w:t xml:space="preserve">is likely to breach the GDPR and what the consequences might be, if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uses personal data in a particular way. It </w:t>
      </w:r>
      <w:r w:rsidRPr="00A15F4C">
        <w:rPr>
          <w:rFonts w:asciiTheme="minorHAnsi" w:hAnsiTheme="minorHAnsi" w:cstheme="majorHAnsi"/>
          <w:lang w:val="en-GB"/>
        </w:rPr>
        <w:lastRenderedPageBreak/>
        <w:t xml:space="preserve">is also about deciding whether there is anything that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can do to stop</w:t>
      </w:r>
      <w:r w:rsidR="00FF5973" w:rsidRPr="00A15F4C">
        <w:rPr>
          <w:rFonts w:asciiTheme="minorHAnsi" w:hAnsiTheme="minorHAnsi" w:cstheme="majorHAnsi"/>
          <w:lang w:val="en-GB"/>
        </w:rPr>
        <w:t xml:space="preserve"> or, at least</w:t>
      </w:r>
      <w:r w:rsidRPr="00A15F4C">
        <w:rPr>
          <w:rFonts w:asciiTheme="minorHAnsi" w:hAnsiTheme="minorHAnsi" w:cstheme="majorHAnsi"/>
          <w:lang w:val="en-GB"/>
        </w:rPr>
        <w:t xml:space="preserve"> or minimise the chances of </w:t>
      </w:r>
      <w:r w:rsidR="00FF5973" w:rsidRPr="00A15F4C">
        <w:rPr>
          <w:rFonts w:asciiTheme="minorHAnsi" w:hAnsiTheme="minorHAnsi" w:cstheme="majorHAnsi"/>
          <w:lang w:val="en-GB"/>
        </w:rPr>
        <w:t xml:space="preserve">any of the </w:t>
      </w:r>
      <w:r w:rsidRPr="00A15F4C">
        <w:rPr>
          <w:rFonts w:asciiTheme="minorHAnsi" w:hAnsiTheme="minorHAnsi" w:cstheme="majorHAnsi"/>
          <w:lang w:val="en-GB"/>
        </w:rPr>
        <w:t xml:space="preserve">potential problems identified, from happening.  </w:t>
      </w:r>
    </w:p>
    <w:p w14:paraId="443D929E" w14:textId="77777777" w:rsidR="000175E6" w:rsidRPr="00A15F4C" w:rsidRDefault="000175E6" w:rsidP="00966F39">
      <w:pPr>
        <w:pStyle w:val="Body"/>
        <w:rPr>
          <w:rFonts w:asciiTheme="minorHAnsi" w:hAnsiTheme="minorHAnsi" w:cstheme="majorHAnsi"/>
          <w:b/>
          <w:bCs/>
          <w:u w:color="70AD47"/>
          <w:lang w:val="en-GB"/>
        </w:rPr>
      </w:pPr>
    </w:p>
    <w:p w14:paraId="092EA399"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Breaches </w:t>
      </w:r>
    </w:p>
    <w:p w14:paraId="5D46E325" w14:textId="77777777" w:rsidR="00966F39" w:rsidRPr="00A15F4C" w:rsidRDefault="00966F39" w:rsidP="00966F39">
      <w:pPr>
        <w:pStyle w:val="Body"/>
        <w:rPr>
          <w:rFonts w:asciiTheme="minorHAnsi" w:eastAsia="Arial" w:hAnsiTheme="minorHAnsi" w:cstheme="majorHAnsi"/>
          <w:b/>
          <w:bCs/>
          <w:u w:color="70AD47"/>
          <w:lang w:val="en-GB"/>
        </w:rPr>
      </w:pPr>
    </w:p>
    <w:p w14:paraId="0384F5FC" w14:textId="7777777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A data protection breach is defined as “a breach of security leading to the accidental or unlawful destruction, loss, alteration, unauthorised disclosure of, or access to, personal data transmitted, stored or otherwise processed”.</w:t>
      </w:r>
    </w:p>
    <w:p w14:paraId="1EDD7B79" w14:textId="77777777" w:rsidR="00966F39" w:rsidRPr="00A15F4C" w:rsidRDefault="00966F39" w:rsidP="00966F39">
      <w:pPr>
        <w:pStyle w:val="Body"/>
        <w:rPr>
          <w:rFonts w:asciiTheme="minorHAnsi" w:eastAsia="Arial" w:hAnsiTheme="minorHAnsi" w:cstheme="majorHAnsi"/>
          <w:lang w:val="en-GB"/>
        </w:rPr>
      </w:pPr>
    </w:p>
    <w:p w14:paraId="31D689E7" w14:textId="6ED6F016"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Everybody working </w:t>
      </w:r>
      <w:r w:rsidR="00CD3E53" w:rsidRPr="00A15F4C">
        <w:rPr>
          <w:rFonts w:asciiTheme="minorHAnsi" w:hAnsiTheme="minorHAnsi" w:cstheme="majorHAnsi"/>
          <w:lang w:val="en-GB"/>
        </w:rPr>
        <w:t xml:space="preserve">in, </w:t>
      </w:r>
      <w:r w:rsidRPr="00A15F4C">
        <w:rPr>
          <w:rFonts w:asciiTheme="minorHAnsi" w:hAnsiTheme="minorHAnsi" w:cstheme="majorHAnsi"/>
          <w:lang w:val="en-GB"/>
        </w:rPr>
        <w:t xml:space="preserve">for </w:t>
      </w:r>
      <w:r w:rsidR="00CD3E53" w:rsidRPr="00A15F4C">
        <w:rPr>
          <w:rFonts w:asciiTheme="minorHAnsi" w:hAnsiTheme="minorHAnsi" w:cstheme="majorHAnsi"/>
          <w:lang w:val="en-GB"/>
        </w:rPr>
        <w:t xml:space="preserve">and with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has a duty to report any actual or suspected data protection breach without</w:t>
      </w:r>
      <w:r w:rsidR="006A507F" w:rsidRPr="00A15F4C">
        <w:rPr>
          <w:rFonts w:asciiTheme="minorHAnsi" w:hAnsiTheme="minorHAnsi" w:cstheme="majorHAnsi"/>
          <w:lang w:val="en-GB"/>
        </w:rPr>
        <w:t xml:space="preserve"> delay to their line manager and the Data Protection Manager. </w:t>
      </w:r>
      <w:r w:rsidR="000175E6" w:rsidRPr="00A15F4C">
        <w:rPr>
          <w:rFonts w:asciiTheme="minorHAnsi" w:hAnsiTheme="minorHAnsi" w:cstheme="majorHAnsi"/>
          <w:lang w:val="en-GB"/>
        </w:rPr>
        <w:t>Full details of the Chambers</w:t>
      </w:r>
      <w:r w:rsidR="00FA3139" w:rsidRPr="00A15F4C">
        <w:rPr>
          <w:rFonts w:asciiTheme="minorHAnsi" w:hAnsiTheme="minorHAnsi" w:cstheme="majorHAnsi"/>
          <w:lang w:val="en-GB"/>
        </w:rPr>
        <w:t>’</w:t>
      </w:r>
      <w:r w:rsidR="000175E6" w:rsidRPr="00A15F4C">
        <w:rPr>
          <w:rFonts w:asciiTheme="minorHAnsi" w:hAnsiTheme="minorHAnsi" w:cstheme="majorHAnsi"/>
          <w:lang w:val="en-GB"/>
        </w:rPr>
        <w:t xml:space="preserve"> breac</w:t>
      </w:r>
      <w:r w:rsidR="006A507F" w:rsidRPr="00A15F4C">
        <w:rPr>
          <w:rFonts w:asciiTheme="minorHAnsi" w:hAnsiTheme="minorHAnsi" w:cstheme="majorHAnsi"/>
          <w:lang w:val="en-GB"/>
        </w:rPr>
        <w:t>h reporting policy can be found in the shared drive with the GDPR Policies and Forms folder.</w:t>
      </w:r>
    </w:p>
    <w:p w14:paraId="0E753E8F" w14:textId="77777777" w:rsidR="00966F39" w:rsidRPr="00A15F4C" w:rsidRDefault="00966F39" w:rsidP="00966F39">
      <w:pPr>
        <w:pStyle w:val="Body"/>
        <w:rPr>
          <w:rFonts w:asciiTheme="minorHAnsi" w:eastAsia="Arial" w:hAnsiTheme="minorHAnsi" w:cstheme="majorHAnsi"/>
          <w:lang w:val="en-GB"/>
        </w:rPr>
      </w:pPr>
    </w:p>
    <w:p w14:paraId="42EDAD0B" w14:textId="00A56415"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Breaches will be reported to the Information</w:t>
      </w:r>
      <w:r w:rsidR="006A507F" w:rsidRPr="00A15F4C">
        <w:rPr>
          <w:rFonts w:asciiTheme="minorHAnsi" w:hAnsiTheme="minorHAnsi" w:cstheme="majorHAnsi"/>
          <w:lang w:val="en-GB"/>
        </w:rPr>
        <w:t xml:space="preserve"> Commissioner’s Office (ICO) by the Data Protection Manager</w:t>
      </w:r>
      <w:r w:rsidRPr="00A15F4C">
        <w:rPr>
          <w:rFonts w:asciiTheme="minorHAnsi" w:hAnsiTheme="minorHAnsi" w:cstheme="majorHAnsi"/>
          <w:b/>
          <w:lang w:val="en-GB"/>
        </w:rPr>
        <w:t xml:space="preserve"> </w:t>
      </w:r>
      <w:r w:rsidRPr="00A15F4C">
        <w:rPr>
          <w:rFonts w:asciiTheme="minorHAnsi" w:hAnsiTheme="minorHAnsi" w:cstheme="majorHAnsi"/>
          <w:lang w:val="en-GB"/>
        </w:rPr>
        <w:t>without undue delay and, where feasible, not later than 72 hours after having become aware of the breach</w:t>
      </w:r>
      <w:r w:rsidR="00FF5973" w:rsidRPr="00A15F4C">
        <w:rPr>
          <w:rFonts w:asciiTheme="minorHAnsi" w:hAnsiTheme="minorHAnsi" w:cstheme="majorHAnsi"/>
          <w:lang w:val="en-GB"/>
        </w:rPr>
        <w:t>, u</w:t>
      </w:r>
      <w:r w:rsidRPr="00A15F4C">
        <w:rPr>
          <w:rFonts w:asciiTheme="minorHAnsi" w:hAnsiTheme="minorHAnsi" w:cstheme="majorHAnsi"/>
          <w:lang w:val="en-GB"/>
        </w:rPr>
        <w:t xml:space="preserve">nless,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is able to demonstrate that the personal data breach is unlikely to result in a risk to the rights and freedoms of data subjects. </w:t>
      </w:r>
    </w:p>
    <w:p w14:paraId="54A1FCFD" w14:textId="77777777" w:rsidR="006A507F" w:rsidRPr="00A15F4C" w:rsidRDefault="006A507F" w:rsidP="00966F39">
      <w:pPr>
        <w:pStyle w:val="Body"/>
        <w:rPr>
          <w:rFonts w:asciiTheme="minorHAnsi" w:eastAsia="Arial" w:hAnsiTheme="minorHAnsi" w:cstheme="majorHAnsi"/>
          <w:lang w:val="en-GB"/>
        </w:rPr>
      </w:pPr>
    </w:p>
    <w:p w14:paraId="30FC8042" w14:textId="65735032" w:rsidR="00966F39" w:rsidRPr="00A15F4C" w:rsidRDefault="006A507F" w:rsidP="00966F39">
      <w:pPr>
        <w:pStyle w:val="Body"/>
        <w:rPr>
          <w:rFonts w:asciiTheme="minorHAnsi" w:eastAsia="Arial" w:hAnsiTheme="minorHAnsi" w:cstheme="majorHAnsi"/>
          <w:lang w:val="en-GB"/>
        </w:rPr>
      </w:pPr>
      <w:r w:rsidRPr="00A15F4C">
        <w:rPr>
          <w:rFonts w:asciiTheme="minorHAnsi" w:eastAsia="Arial" w:hAnsiTheme="minorHAnsi" w:cstheme="majorHAnsi"/>
          <w:lang w:val="en-GB"/>
        </w:rPr>
        <w:t xml:space="preserve">The Data Protection Manager </w:t>
      </w:r>
      <w:r w:rsidR="00966F39" w:rsidRPr="00A15F4C">
        <w:rPr>
          <w:rFonts w:asciiTheme="minorHAnsi" w:hAnsiTheme="minorHAnsi" w:cstheme="majorHAnsi"/>
          <w:lang w:val="en-GB"/>
        </w:rPr>
        <w:t xml:space="preserve">will maintain a central register of the details of any data protection breaches. </w:t>
      </w:r>
    </w:p>
    <w:p w14:paraId="61D127EF" w14:textId="77777777" w:rsidR="00966F39" w:rsidRPr="00A15F4C" w:rsidRDefault="00966F39" w:rsidP="00966F39">
      <w:pPr>
        <w:pStyle w:val="Body"/>
        <w:rPr>
          <w:rFonts w:asciiTheme="minorHAnsi" w:eastAsia="Arial" w:hAnsiTheme="minorHAnsi" w:cstheme="majorHAnsi"/>
          <w:lang w:val="en-GB"/>
        </w:rPr>
      </w:pPr>
    </w:p>
    <w:p w14:paraId="2FF5F25D"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Complaints</w:t>
      </w:r>
    </w:p>
    <w:p w14:paraId="095F9AE7" w14:textId="77777777" w:rsidR="00966F39" w:rsidRPr="00A15F4C" w:rsidRDefault="00966F39" w:rsidP="00966F39">
      <w:pPr>
        <w:pStyle w:val="Body"/>
        <w:rPr>
          <w:rFonts w:asciiTheme="minorHAnsi" w:eastAsia="Arial" w:hAnsiTheme="minorHAnsi" w:cstheme="majorHAnsi"/>
          <w:b/>
          <w:bCs/>
          <w:u w:color="70AD47"/>
          <w:lang w:val="en-GB"/>
        </w:rPr>
      </w:pPr>
    </w:p>
    <w:p w14:paraId="33C63D7A" w14:textId="36C5AB91" w:rsidR="00966F39" w:rsidRPr="00A15F4C" w:rsidRDefault="00966F39" w:rsidP="00966F39">
      <w:pPr>
        <w:pStyle w:val="Body"/>
        <w:rPr>
          <w:rFonts w:asciiTheme="minorHAnsi" w:hAnsiTheme="minorHAnsi" w:cstheme="majorHAnsi"/>
          <w:lang w:val="en-GB"/>
        </w:rPr>
      </w:pPr>
      <w:r w:rsidRPr="00A15F4C">
        <w:rPr>
          <w:rFonts w:asciiTheme="minorHAnsi" w:hAnsiTheme="minorHAnsi" w:cstheme="majorHAnsi"/>
          <w:lang w:val="en-GB"/>
        </w:rPr>
        <w:t xml:space="preserve">Complaints relating to breaches of the GDPR and/ or complaints that an individual’s personal data is not being processed in line with the data protection principles should be referred </w:t>
      </w:r>
      <w:r w:rsidR="006A507F" w:rsidRPr="00A15F4C">
        <w:rPr>
          <w:rFonts w:asciiTheme="minorHAnsi" w:hAnsiTheme="minorHAnsi" w:cstheme="majorHAnsi"/>
          <w:lang w:val="en-GB"/>
        </w:rPr>
        <w:t xml:space="preserve">to the Data Protection Manager </w:t>
      </w:r>
      <w:r w:rsidRPr="00A15F4C">
        <w:rPr>
          <w:rFonts w:asciiTheme="minorHAnsi" w:hAnsiTheme="minorHAnsi" w:cstheme="majorHAnsi"/>
          <w:lang w:val="en-GB"/>
        </w:rPr>
        <w:t xml:space="preserve">without delay. </w:t>
      </w:r>
    </w:p>
    <w:p w14:paraId="4A701CB0" w14:textId="77777777" w:rsidR="00426317" w:rsidRPr="00A15F4C" w:rsidRDefault="00426317" w:rsidP="00966F39">
      <w:pPr>
        <w:pStyle w:val="Body"/>
        <w:rPr>
          <w:rFonts w:asciiTheme="minorHAnsi" w:hAnsiTheme="minorHAnsi" w:cstheme="majorHAnsi"/>
          <w:lang w:val="en-GB"/>
        </w:rPr>
      </w:pPr>
    </w:p>
    <w:p w14:paraId="57313594" w14:textId="77777777" w:rsidR="00966F39" w:rsidRPr="00A15F4C" w:rsidRDefault="00966F39" w:rsidP="00966F39">
      <w:pPr>
        <w:pStyle w:val="Body"/>
        <w:rPr>
          <w:rFonts w:asciiTheme="minorHAnsi" w:eastAsia="Arial" w:hAnsiTheme="minorHAnsi" w:cstheme="majorHAnsi"/>
          <w:lang w:val="en-GB"/>
        </w:rPr>
      </w:pPr>
    </w:p>
    <w:p w14:paraId="15E15AD1" w14:textId="77777777" w:rsidR="00966F39" w:rsidRPr="00A15F4C" w:rsidRDefault="00966F39" w:rsidP="00966F39">
      <w:pPr>
        <w:pStyle w:val="Body"/>
        <w:rPr>
          <w:rFonts w:asciiTheme="minorHAnsi" w:eastAsia="Arial" w:hAnsiTheme="minorHAnsi" w:cstheme="majorHAnsi"/>
          <w:b/>
          <w:bCs/>
          <w:color w:val="002060"/>
          <w:u w:color="70AD47"/>
          <w:lang w:val="en-GB"/>
        </w:rPr>
      </w:pPr>
      <w:r w:rsidRPr="00A15F4C">
        <w:rPr>
          <w:rFonts w:asciiTheme="minorHAnsi" w:hAnsiTheme="minorHAnsi" w:cstheme="majorHAnsi"/>
          <w:b/>
          <w:bCs/>
          <w:color w:val="002060"/>
          <w:u w:color="70AD47"/>
          <w:lang w:val="en-GB"/>
        </w:rPr>
        <w:t xml:space="preserve">Penalties </w:t>
      </w:r>
    </w:p>
    <w:p w14:paraId="0165B48F" w14:textId="77777777" w:rsidR="00966F39" w:rsidRPr="00A15F4C" w:rsidRDefault="00966F39" w:rsidP="00966F39">
      <w:pPr>
        <w:pStyle w:val="Body"/>
        <w:rPr>
          <w:rFonts w:asciiTheme="minorHAnsi" w:eastAsia="Arial" w:hAnsiTheme="minorHAnsi" w:cstheme="majorHAnsi"/>
          <w:b/>
          <w:bCs/>
          <w:u w:color="70AD47"/>
          <w:lang w:val="en-GB"/>
        </w:rPr>
      </w:pPr>
    </w:p>
    <w:p w14:paraId="35CC8101" w14:textId="2814C6D7" w:rsidR="00966F39" w:rsidRPr="00A15F4C" w:rsidRDefault="00966F39" w:rsidP="00966F39">
      <w:pPr>
        <w:pStyle w:val="Body"/>
        <w:rPr>
          <w:rFonts w:asciiTheme="minorHAnsi" w:eastAsia="Arial" w:hAnsiTheme="minorHAnsi" w:cstheme="majorHAnsi"/>
          <w:lang w:val="en-GB"/>
        </w:rPr>
      </w:pPr>
      <w:r w:rsidRPr="00A15F4C">
        <w:rPr>
          <w:rFonts w:asciiTheme="minorHAnsi" w:hAnsiTheme="minorHAnsi" w:cstheme="majorHAnsi"/>
          <w:lang w:val="en-GB"/>
        </w:rPr>
        <w:t xml:space="preserve">It is important that everybody working for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understands the implications for </w:t>
      </w:r>
      <w:r w:rsidR="000D042E" w:rsidRPr="00A15F4C">
        <w:rPr>
          <w:rFonts w:asciiTheme="minorHAnsi" w:hAnsiTheme="minorHAnsi" w:cstheme="majorHAnsi"/>
          <w:lang w:val="en-GB"/>
        </w:rPr>
        <w:t>Chambers</w:t>
      </w:r>
      <w:r w:rsidRPr="00A15F4C">
        <w:rPr>
          <w:rFonts w:asciiTheme="minorHAnsi" w:hAnsiTheme="minorHAnsi" w:cstheme="majorHAnsi"/>
          <w:lang w:val="en-GB"/>
        </w:rPr>
        <w:t xml:space="preserve"> if we fail to meet our data protection obligations. Failure to comply could result in:</w:t>
      </w:r>
    </w:p>
    <w:p w14:paraId="017DDFE8"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Criminal and civil action;</w:t>
      </w:r>
    </w:p>
    <w:p w14:paraId="55036C5F"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Fines and damages;</w:t>
      </w:r>
    </w:p>
    <w:p w14:paraId="7F614EFA"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Personal accountability and liability;</w:t>
      </w:r>
    </w:p>
    <w:p w14:paraId="531FC9A6"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Suspension/ withdrawal of the right to process personal data by the ICO;</w:t>
      </w:r>
    </w:p>
    <w:p w14:paraId="0587D6D3"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Loss of confidence in the integrity of the business’s systems and procedures;</w:t>
      </w:r>
    </w:p>
    <w:p w14:paraId="4749173F" w14:textId="77777777" w:rsidR="00966F39" w:rsidRPr="00A15F4C" w:rsidRDefault="00966F39" w:rsidP="006A507F">
      <w:pPr>
        <w:pStyle w:val="ListParagraph"/>
        <w:numPr>
          <w:ilvl w:val="0"/>
          <w:numId w:val="16"/>
        </w:numPr>
        <w:rPr>
          <w:rFonts w:asciiTheme="minorHAnsi" w:eastAsia="Arial" w:hAnsiTheme="minorHAnsi"/>
        </w:rPr>
      </w:pPr>
      <w:r w:rsidRPr="00A15F4C">
        <w:rPr>
          <w:rFonts w:asciiTheme="minorHAnsi" w:hAnsiTheme="minorHAnsi"/>
        </w:rPr>
        <w:t xml:space="preserve">Irreparable damage to the business’s reputation. </w:t>
      </w:r>
    </w:p>
    <w:p w14:paraId="5A0DA75F" w14:textId="77777777" w:rsidR="00966F39" w:rsidRPr="00A15F4C" w:rsidRDefault="00966F39" w:rsidP="00966F39">
      <w:pPr>
        <w:pStyle w:val="Body"/>
        <w:spacing w:after="200"/>
        <w:rPr>
          <w:rFonts w:asciiTheme="minorHAnsi" w:eastAsia="Arial" w:hAnsiTheme="minorHAnsi" w:cstheme="majorHAnsi"/>
          <w:lang w:val="en-GB"/>
        </w:rPr>
      </w:pPr>
    </w:p>
    <w:p w14:paraId="63B71548" w14:textId="46812239" w:rsidR="00760E56" w:rsidRPr="00A15F4C" w:rsidRDefault="00966F39" w:rsidP="00A15F4C">
      <w:pPr>
        <w:pStyle w:val="Body"/>
        <w:spacing w:after="200"/>
        <w:rPr>
          <w:rFonts w:asciiTheme="minorHAnsi" w:hAnsiTheme="minorHAnsi"/>
        </w:rPr>
      </w:pPr>
      <w:r w:rsidRPr="00A15F4C">
        <w:rPr>
          <w:rFonts w:asciiTheme="minorHAnsi" w:hAnsiTheme="minorHAnsi" w:cstheme="majorHAnsi"/>
          <w:b/>
          <w:bCs/>
          <w:lang w:val="en-GB"/>
        </w:rPr>
        <w:t xml:space="preserve">Note: </w:t>
      </w:r>
      <w:r w:rsidR="000D042E" w:rsidRPr="00A15F4C">
        <w:rPr>
          <w:rFonts w:asciiTheme="minorHAnsi" w:hAnsiTheme="minorHAnsi" w:cstheme="majorHAnsi"/>
          <w:b/>
          <w:bCs/>
          <w:lang w:val="en-GB"/>
        </w:rPr>
        <w:t>Chambers</w:t>
      </w:r>
      <w:r w:rsidRPr="00A15F4C">
        <w:rPr>
          <w:rFonts w:asciiTheme="minorHAnsi" w:hAnsiTheme="minorHAnsi" w:cstheme="majorHAnsi"/>
          <w:b/>
          <w:bCs/>
          <w:lang w:val="en-GB"/>
        </w:rPr>
        <w:t xml:space="preserve"> could be fined up to €20,000,000, or up to 4% of the total worldwide annual turnover of the preceding financial year, whichever is higher.</w:t>
      </w:r>
      <w:r w:rsidRPr="00A15F4C">
        <w:rPr>
          <w:rFonts w:asciiTheme="minorHAnsi" w:hAnsiTheme="minorHAnsi" w:cstheme="majorHAnsi"/>
          <w:lang w:val="en-GB"/>
        </w:rPr>
        <w:t xml:space="preserve"> </w:t>
      </w:r>
      <w:r w:rsidRPr="00A15F4C">
        <w:rPr>
          <w:rFonts w:asciiTheme="minorHAnsi" w:hAnsiTheme="minorHAnsi" w:cstheme="majorHAnsi"/>
          <w:b/>
          <w:bCs/>
          <w:lang w:val="en-GB"/>
        </w:rPr>
        <w:t xml:space="preserve"> </w:t>
      </w:r>
      <w:bookmarkStart w:id="0" w:name="_GoBack"/>
      <w:bookmarkEnd w:id="0"/>
    </w:p>
    <w:sectPr w:rsidR="00760E56" w:rsidRPr="00A15F4C" w:rsidSect="00DF7CFF">
      <w:headerReference w:type="default" r:id="rId9"/>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D6869" w14:textId="77777777" w:rsidR="003A3EBC" w:rsidRDefault="003A3EBC" w:rsidP="005E03F6">
      <w:pPr>
        <w:spacing w:after="0" w:line="240" w:lineRule="auto"/>
      </w:pPr>
      <w:r>
        <w:separator/>
      </w:r>
    </w:p>
  </w:endnote>
  <w:endnote w:type="continuationSeparator" w:id="0">
    <w:p w14:paraId="7B268AE0" w14:textId="77777777" w:rsidR="003A3EBC" w:rsidRDefault="003A3EBC" w:rsidP="005E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font379">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94720" w14:textId="77777777" w:rsidR="003A3EBC" w:rsidRDefault="003A3EBC" w:rsidP="005E03F6">
      <w:pPr>
        <w:spacing w:after="0" w:line="240" w:lineRule="auto"/>
      </w:pPr>
      <w:r>
        <w:separator/>
      </w:r>
    </w:p>
  </w:footnote>
  <w:footnote w:type="continuationSeparator" w:id="0">
    <w:p w14:paraId="5D8516B3" w14:textId="77777777" w:rsidR="003A3EBC" w:rsidRDefault="003A3EBC" w:rsidP="005E0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59901" w14:textId="544E9C39" w:rsidR="00A15F4C" w:rsidRDefault="00A15F4C" w:rsidP="00A15F4C">
    <w:pPr>
      <w:pStyle w:val="Header"/>
      <w:jc w:val="right"/>
    </w:pPr>
    <w:r>
      <w:rPr>
        <w:noProof/>
        <w:lang w:eastAsia="en-GB"/>
      </w:rPr>
      <w:drawing>
        <wp:inline distT="0" distB="0" distL="0" distR="0" wp14:anchorId="66CC1E42" wp14:editId="7CE70A40">
          <wp:extent cx="763325" cy="76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reen (2).png"/>
                  <pic:cNvPicPr/>
                </pic:nvPicPr>
                <pic:blipFill>
                  <a:blip r:embed="rId1">
                    <a:extLst>
                      <a:ext uri="{28A0092B-C50C-407E-A947-70E740481C1C}">
                        <a14:useLocalDpi xmlns:a14="http://schemas.microsoft.com/office/drawing/2010/main" val="0"/>
                      </a:ext>
                    </a:extLst>
                  </a:blip>
                  <a:stretch>
                    <a:fillRect/>
                  </a:stretch>
                </pic:blipFill>
                <pic:spPr>
                  <a:xfrm>
                    <a:off x="0" y="0"/>
                    <a:ext cx="787116" cy="787116"/>
                  </a:xfrm>
                  <a:prstGeom prst="rect">
                    <a:avLst/>
                  </a:prstGeom>
                </pic:spPr>
              </pic:pic>
            </a:graphicData>
          </a:graphic>
        </wp:inline>
      </w:drawing>
    </w:r>
  </w:p>
  <w:p w14:paraId="128CB897" w14:textId="77777777" w:rsidR="00A15F4C" w:rsidRDefault="00A15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2F96"/>
    <w:multiLevelType w:val="hybridMultilevel"/>
    <w:tmpl w:val="A3D4A8E4"/>
    <w:styleLink w:val="ImportedStyle8"/>
    <w:lvl w:ilvl="0" w:tplc="CC9E77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8CA320">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3C6972">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668A20">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B0E278">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A012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CE70F4">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AE04A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7EB71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04D677F"/>
    <w:multiLevelType w:val="hybridMultilevel"/>
    <w:tmpl w:val="A3D4A8E4"/>
    <w:numStyleLink w:val="ImportedStyle8"/>
  </w:abstractNum>
  <w:abstractNum w:abstractNumId="2" w15:restartNumberingAfterBreak="0">
    <w:nsid w:val="25167B93"/>
    <w:multiLevelType w:val="hybridMultilevel"/>
    <w:tmpl w:val="EFE6E866"/>
    <w:styleLink w:val="ImportedStyle6"/>
    <w:lvl w:ilvl="0" w:tplc="54BC1B10">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6F9D8">
      <w:start w:val="1"/>
      <w:numFmt w:val="lowerLetter"/>
      <w:lvlText w:val="%2."/>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04608">
      <w:start w:val="1"/>
      <w:numFmt w:val="lowerRoman"/>
      <w:lvlText w:val="%3."/>
      <w:lvlJc w:val="left"/>
      <w:pPr>
        <w:ind w:left="177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AEFF4A">
      <w:start w:val="1"/>
      <w:numFmt w:val="decimal"/>
      <w:lvlText w:val="%4."/>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C2E258">
      <w:start w:val="1"/>
      <w:numFmt w:val="lowerLetter"/>
      <w:lvlText w:val="%5."/>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B44454">
      <w:start w:val="1"/>
      <w:numFmt w:val="lowerRoman"/>
      <w:lvlText w:val="%6."/>
      <w:lvlJc w:val="left"/>
      <w:pPr>
        <w:ind w:left="39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E6DE42">
      <w:start w:val="1"/>
      <w:numFmt w:val="decimal"/>
      <w:lvlText w:val="%7."/>
      <w:lvlJc w:val="left"/>
      <w:pPr>
        <w:ind w:left="46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12E03A">
      <w:start w:val="1"/>
      <w:numFmt w:val="lowerLetter"/>
      <w:lvlText w:val="%8."/>
      <w:lvlJc w:val="left"/>
      <w:pPr>
        <w:ind w:left="53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AA81BE">
      <w:start w:val="1"/>
      <w:numFmt w:val="lowerRoman"/>
      <w:lvlText w:val="%9."/>
      <w:lvlJc w:val="left"/>
      <w:pPr>
        <w:ind w:left="609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6A1436"/>
    <w:multiLevelType w:val="hybridMultilevel"/>
    <w:tmpl w:val="DE68F364"/>
    <w:numStyleLink w:val="ImportedStyle5"/>
  </w:abstractNum>
  <w:abstractNum w:abstractNumId="4" w15:restartNumberingAfterBreak="0">
    <w:nsid w:val="34350188"/>
    <w:multiLevelType w:val="hybridMultilevel"/>
    <w:tmpl w:val="FB382730"/>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4BF3C">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96E12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14A47E">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44AE4">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8A71E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EECE9E">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72CEB2">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A2662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F8A4EA6"/>
    <w:multiLevelType w:val="hybridMultilevel"/>
    <w:tmpl w:val="DE68F364"/>
    <w:styleLink w:val="ImportedStyle5"/>
    <w:lvl w:ilvl="0" w:tplc="E2789C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EA86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05F8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8754A">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465B0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6908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909520">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E767C">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C64328">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4CD22AC"/>
    <w:multiLevelType w:val="hybridMultilevel"/>
    <w:tmpl w:val="A6D6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472F3"/>
    <w:multiLevelType w:val="hybridMultilevel"/>
    <w:tmpl w:val="318AD8F6"/>
    <w:styleLink w:val="ImportedStyle7"/>
    <w:lvl w:ilvl="0" w:tplc="08E810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34D20C">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2F37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F201B6">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10E908">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12185C">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FCA19E">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1A7CF4">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B6231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966944"/>
    <w:multiLevelType w:val="hybridMultilevel"/>
    <w:tmpl w:val="2632B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DE5CBB"/>
    <w:multiLevelType w:val="hybridMultilevel"/>
    <w:tmpl w:val="EFE6E866"/>
    <w:numStyleLink w:val="ImportedStyle6"/>
  </w:abstractNum>
  <w:abstractNum w:abstractNumId="10" w15:restartNumberingAfterBreak="0">
    <w:nsid w:val="6898520A"/>
    <w:multiLevelType w:val="hybridMultilevel"/>
    <w:tmpl w:val="31200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8FF39E4"/>
    <w:multiLevelType w:val="hybridMultilevel"/>
    <w:tmpl w:val="5E02D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6F7F03"/>
    <w:multiLevelType w:val="hybridMultilevel"/>
    <w:tmpl w:val="EAEE3008"/>
    <w:styleLink w:val="ImportedStyle9"/>
    <w:lvl w:ilvl="0" w:tplc="24AC5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EBF40">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0196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A95D2">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48E70">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84592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8524E">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5CEA2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C2595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1C328E7"/>
    <w:multiLevelType w:val="hybridMultilevel"/>
    <w:tmpl w:val="318AD8F6"/>
    <w:numStyleLink w:val="ImportedStyle7"/>
  </w:abstractNum>
  <w:abstractNum w:abstractNumId="14" w15:restartNumberingAfterBreak="0">
    <w:nsid w:val="71C55110"/>
    <w:multiLevelType w:val="hybridMultilevel"/>
    <w:tmpl w:val="4CA856AE"/>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4DC5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96545E">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9C6092">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A84EC">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083C5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7A0F04">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4EB5A">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C79F4">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0D112F"/>
    <w:multiLevelType w:val="hybridMultilevel"/>
    <w:tmpl w:val="EAEE3008"/>
    <w:numStyleLink w:val="ImportedStyle9"/>
  </w:abstractNum>
  <w:num w:numId="1">
    <w:abstractNumId w:val="5"/>
  </w:num>
  <w:num w:numId="2">
    <w:abstractNumId w:val="3"/>
  </w:num>
  <w:num w:numId="3">
    <w:abstractNumId w:val="2"/>
  </w:num>
  <w:num w:numId="4">
    <w:abstractNumId w:val="9"/>
  </w:num>
  <w:num w:numId="5">
    <w:abstractNumId w:val="7"/>
  </w:num>
  <w:num w:numId="6">
    <w:abstractNumId w:val="13"/>
  </w:num>
  <w:num w:numId="7">
    <w:abstractNumId w:val="0"/>
  </w:num>
  <w:num w:numId="8">
    <w:abstractNumId w:val="1"/>
  </w:num>
  <w:num w:numId="9">
    <w:abstractNumId w:val="12"/>
  </w:num>
  <w:num w:numId="10">
    <w:abstractNumId w:val="15"/>
  </w:num>
  <w:num w:numId="11">
    <w:abstractNumId w:val="6"/>
  </w:num>
  <w:num w:numId="12">
    <w:abstractNumId w:val="8"/>
  </w:num>
  <w:num w:numId="13">
    <w:abstractNumId w:val="14"/>
  </w:num>
  <w:num w:numId="14">
    <w:abstractNumId w:val="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39"/>
    <w:rsid w:val="000175E6"/>
    <w:rsid w:val="00082027"/>
    <w:rsid w:val="000D042E"/>
    <w:rsid w:val="00190BFB"/>
    <w:rsid w:val="00234A78"/>
    <w:rsid w:val="00293323"/>
    <w:rsid w:val="00295217"/>
    <w:rsid w:val="002F2F17"/>
    <w:rsid w:val="003A3EBC"/>
    <w:rsid w:val="003D48E3"/>
    <w:rsid w:val="003E5D35"/>
    <w:rsid w:val="00417659"/>
    <w:rsid w:val="00426317"/>
    <w:rsid w:val="0045521F"/>
    <w:rsid w:val="00465CCE"/>
    <w:rsid w:val="0047499A"/>
    <w:rsid w:val="0049338E"/>
    <w:rsid w:val="004A319D"/>
    <w:rsid w:val="004D7057"/>
    <w:rsid w:val="004F6F78"/>
    <w:rsid w:val="00582BAE"/>
    <w:rsid w:val="005E03F6"/>
    <w:rsid w:val="00651632"/>
    <w:rsid w:val="006706AF"/>
    <w:rsid w:val="006A507F"/>
    <w:rsid w:val="00760E56"/>
    <w:rsid w:val="00844314"/>
    <w:rsid w:val="008A090F"/>
    <w:rsid w:val="00933D50"/>
    <w:rsid w:val="00966F39"/>
    <w:rsid w:val="009D2FCE"/>
    <w:rsid w:val="00A15F4C"/>
    <w:rsid w:val="00A348B6"/>
    <w:rsid w:val="00A555ED"/>
    <w:rsid w:val="00A56168"/>
    <w:rsid w:val="00A6372A"/>
    <w:rsid w:val="00A77294"/>
    <w:rsid w:val="00C55855"/>
    <w:rsid w:val="00CD3E53"/>
    <w:rsid w:val="00D34A07"/>
    <w:rsid w:val="00DF7CFF"/>
    <w:rsid w:val="00E419D7"/>
    <w:rsid w:val="00EA01A3"/>
    <w:rsid w:val="00EF4EE2"/>
    <w:rsid w:val="00F425CC"/>
    <w:rsid w:val="00FA3139"/>
    <w:rsid w:val="00FD2E18"/>
    <w:rsid w:val="00FF5973"/>
    <w:rsid w:val="00FF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17714F"/>
  <w15:docId w15:val="{8601AA77-DAAD-439D-B943-A2AD3CBD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966F39"/>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customStyle="1" w:styleId="Body">
    <w:name w:val="Body"/>
    <w:rsid w:val="00966F3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numbering" w:customStyle="1" w:styleId="ImportedStyle5">
    <w:name w:val="Imported Style 5"/>
    <w:rsid w:val="00966F39"/>
    <w:pPr>
      <w:numPr>
        <w:numId w:val="1"/>
      </w:numPr>
    </w:pPr>
  </w:style>
  <w:style w:type="numbering" w:customStyle="1" w:styleId="ImportedStyle6">
    <w:name w:val="Imported Style 6"/>
    <w:rsid w:val="00966F39"/>
    <w:pPr>
      <w:numPr>
        <w:numId w:val="3"/>
      </w:numPr>
    </w:pPr>
  </w:style>
  <w:style w:type="numbering" w:customStyle="1" w:styleId="ImportedStyle7">
    <w:name w:val="Imported Style 7"/>
    <w:rsid w:val="00966F39"/>
    <w:pPr>
      <w:numPr>
        <w:numId w:val="5"/>
      </w:numPr>
    </w:pPr>
  </w:style>
  <w:style w:type="numbering" w:customStyle="1" w:styleId="ImportedStyle8">
    <w:name w:val="Imported Style 8"/>
    <w:rsid w:val="00966F39"/>
    <w:pPr>
      <w:numPr>
        <w:numId w:val="7"/>
      </w:numPr>
    </w:pPr>
  </w:style>
  <w:style w:type="numbering" w:customStyle="1" w:styleId="ImportedStyle9">
    <w:name w:val="Imported Style 9"/>
    <w:rsid w:val="00966F39"/>
    <w:pPr>
      <w:numPr>
        <w:numId w:val="9"/>
      </w:numPr>
    </w:pPr>
  </w:style>
  <w:style w:type="paragraph" w:styleId="Header">
    <w:name w:val="header"/>
    <w:basedOn w:val="Normal"/>
    <w:link w:val="HeaderChar"/>
    <w:uiPriority w:val="99"/>
    <w:unhideWhenUsed/>
    <w:rsid w:val="005E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3F6"/>
  </w:style>
  <w:style w:type="paragraph" w:styleId="Footer">
    <w:name w:val="footer"/>
    <w:basedOn w:val="Normal"/>
    <w:link w:val="FooterChar"/>
    <w:uiPriority w:val="99"/>
    <w:unhideWhenUsed/>
    <w:rsid w:val="005E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3F6"/>
  </w:style>
  <w:style w:type="paragraph" w:styleId="BalloonText">
    <w:name w:val="Balloon Text"/>
    <w:basedOn w:val="Normal"/>
    <w:link w:val="BalloonTextChar"/>
    <w:uiPriority w:val="99"/>
    <w:semiHidden/>
    <w:unhideWhenUsed/>
    <w:rsid w:val="000D0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42E"/>
    <w:rPr>
      <w:rFonts w:ascii="Tahoma" w:hAnsi="Tahoma" w:cs="Tahoma"/>
      <w:sz w:val="16"/>
      <w:szCs w:val="16"/>
    </w:rPr>
  </w:style>
  <w:style w:type="character" w:styleId="CommentReference">
    <w:name w:val="annotation reference"/>
    <w:basedOn w:val="DefaultParagraphFont"/>
    <w:uiPriority w:val="99"/>
    <w:semiHidden/>
    <w:unhideWhenUsed/>
    <w:rsid w:val="00FF5973"/>
    <w:rPr>
      <w:sz w:val="16"/>
      <w:szCs w:val="16"/>
    </w:rPr>
  </w:style>
  <w:style w:type="paragraph" w:styleId="CommentText">
    <w:name w:val="annotation text"/>
    <w:basedOn w:val="Normal"/>
    <w:link w:val="CommentTextChar"/>
    <w:uiPriority w:val="99"/>
    <w:semiHidden/>
    <w:unhideWhenUsed/>
    <w:rsid w:val="00FF5973"/>
    <w:pPr>
      <w:spacing w:line="240" w:lineRule="auto"/>
    </w:pPr>
    <w:rPr>
      <w:sz w:val="20"/>
      <w:szCs w:val="20"/>
    </w:rPr>
  </w:style>
  <w:style w:type="character" w:customStyle="1" w:styleId="CommentTextChar">
    <w:name w:val="Comment Text Char"/>
    <w:basedOn w:val="DefaultParagraphFont"/>
    <w:link w:val="CommentText"/>
    <w:uiPriority w:val="99"/>
    <w:semiHidden/>
    <w:rsid w:val="00FF5973"/>
    <w:rPr>
      <w:sz w:val="20"/>
      <w:szCs w:val="20"/>
    </w:rPr>
  </w:style>
  <w:style w:type="paragraph" w:styleId="CommentSubject">
    <w:name w:val="annotation subject"/>
    <w:basedOn w:val="CommentText"/>
    <w:next w:val="CommentText"/>
    <w:link w:val="CommentSubjectChar"/>
    <w:uiPriority w:val="99"/>
    <w:semiHidden/>
    <w:unhideWhenUsed/>
    <w:rsid w:val="00FF5973"/>
    <w:rPr>
      <w:b/>
      <w:bCs/>
    </w:rPr>
  </w:style>
  <w:style w:type="character" w:customStyle="1" w:styleId="CommentSubjectChar">
    <w:name w:val="Comment Subject Char"/>
    <w:basedOn w:val="CommentTextChar"/>
    <w:link w:val="CommentSubject"/>
    <w:uiPriority w:val="99"/>
    <w:semiHidden/>
    <w:rsid w:val="00FF5973"/>
    <w:rPr>
      <w:b/>
      <w:bCs/>
      <w:sz w:val="20"/>
      <w:szCs w:val="20"/>
    </w:rPr>
  </w:style>
  <w:style w:type="character" w:customStyle="1" w:styleId="A3">
    <w:name w:val="A3"/>
    <w:rsid w:val="00844314"/>
    <w:rPr>
      <w:rFonts w:cs="Myriad Pro"/>
      <w:b/>
      <w:bCs/>
      <w:color w:val="000000"/>
      <w:sz w:val="48"/>
      <w:szCs w:val="48"/>
    </w:rPr>
  </w:style>
  <w:style w:type="paragraph" w:customStyle="1" w:styleId="Pa0">
    <w:name w:val="Pa0"/>
    <w:basedOn w:val="Normal"/>
    <w:rsid w:val="00844314"/>
    <w:pPr>
      <w:suppressAutoHyphens/>
      <w:spacing w:after="0" w:line="241" w:lineRule="atLeast"/>
    </w:pPr>
    <w:rPr>
      <w:rFonts w:ascii="Myriad Pro" w:eastAsia="Lucida Sans Unicode" w:hAnsi="Myriad Pro" w:cs="font379"/>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A613193</value>
    </field>
    <field name="Objective-Title">
      <value order="0">Data Protection Policy v2</value>
    </field>
    <field name="Objective-Description">
      <value order="0"/>
    </field>
    <field name="Objective-CreationStamp">
      <value order="0">2017-12-07T13:43:32Z</value>
    </field>
    <field name="Objective-IsApproved">
      <value order="0">false</value>
    </field>
    <field name="Objective-IsPublished">
      <value order="0">false</value>
    </field>
    <field name="Objective-DatePublished">
      <value order="0"/>
    </field>
    <field name="Objective-ModificationStamp">
      <value order="0">2017-12-07T13:43:49Z</value>
    </field>
    <field name="Objective-Owner">
      <value order="0">Melanie Mylvaganam</value>
    </field>
    <field name="Objective-Path">
      <value order="0">Bar Council Global Folder:Representation:Governance:Committees:Legal Services Committee:Reporting Committees:Information Technology Panel:GDPR Readiness Project:GDPR Toolkit v2</value>
    </field>
    <field name="Objective-Parent">
      <value order="0">GDPR Toolkit v2</value>
    </field>
    <field name="Objective-State">
      <value order="0">Being Drafted</value>
    </field>
    <field name="Objective-VersionId">
      <value order="0">vA982239</value>
    </field>
    <field name="Objective-Version">
      <value order="0">0.1</value>
    </field>
    <field name="Objective-VersionNumber">
      <value order="0">1</value>
    </field>
    <field name="Objective-VersionComment">
      <value order="0"/>
    </field>
    <field name="Objective-FileNumber">
      <value order="0">qA52621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FF15A185-7FC5-4343-9D95-4A8F29E9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Data Protection Policy - Copyright ©Riliance Software Limited 2017</vt:lpstr>
    </vt:vector>
  </TitlesOfParts>
  <Company>Microsoft</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 Copyright ©Riliance Software Limited 2017</dc:title>
  <dc:creator>Riliance</dc:creator>
  <dc:description>Copyright ©Riliance Software Limited 2017</dc:description>
  <cp:lastModifiedBy>Kate Le Queux</cp:lastModifiedBy>
  <cp:revision>8</cp:revision>
  <cp:lastPrinted>2018-05-21T09:44:00Z</cp:lastPrinted>
  <dcterms:created xsi:type="dcterms:W3CDTF">2017-12-20T09:53:00Z</dcterms:created>
  <dcterms:modified xsi:type="dcterms:W3CDTF">2018-05-21T09:44:00Z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A613193</vt:lpwstr>
  </property>
  <property fmtid="{D5CDD505-2E9C-101B-9397-08002B2CF9AE}" pid="4" name="Objective-Title">
    <vt:lpwstr>Data Protection Policy v2</vt:lpwstr>
  </property>
  <property fmtid="{D5CDD505-2E9C-101B-9397-08002B2CF9AE}" pid="5" name="Objective-Description">
    <vt:lpwstr/>
  </property>
  <property fmtid="{D5CDD505-2E9C-101B-9397-08002B2CF9AE}" pid="6" name="Objective-CreationStamp">
    <vt:filetime>2017-12-07T13:43:48Z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2017-12-07T13:44:06Z</vt:filetime>
  </property>
  <property fmtid="{D5CDD505-2E9C-101B-9397-08002B2CF9AE}" pid="11" name="Objective-Owner">
    <vt:lpwstr>Melanie Mylvaganam</vt:lpwstr>
  </property>
  <property fmtid="{D5CDD505-2E9C-101B-9397-08002B2CF9AE}" pid="12" name="Objective-Path">
    <vt:lpwstr>Bar Council Global Folder:Representation:Governance:Committees:Legal Services Committee:Reporting Committees:Information Technology Panel:GDPR Readiness Project:GDPR Toolkit v2:</vt:lpwstr>
  </property>
  <property fmtid="{D5CDD505-2E9C-101B-9397-08002B2CF9AE}" pid="13" name="Objective-Parent">
    <vt:lpwstr>GDPR Toolkit v2</vt:lpwstr>
  </property>
  <property fmtid="{D5CDD505-2E9C-101B-9397-08002B2CF9AE}" pid="14" name="Objective-State">
    <vt:lpwstr>Being Drafted</vt:lpwstr>
  </property>
  <property fmtid="{D5CDD505-2E9C-101B-9397-08002B2CF9AE}" pid="15" name="Objective-VersionId">
    <vt:lpwstr>vA982239</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